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0CDB" w14:textId="6CB0D099" w:rsidR="009F063A" w:rsidRDefault="00D05F32">
      <w:pPr>
        <w:jc w:val="center"/>
        <w:rPr>
          <w:rFonts w:ascii="华文仿宋" w:eastAsia="华文仿宋" w:hAnsi="华文仿宋" w:cs="Times New Roman"/>
          <w:b/>
          <w:sz w:val="30"/>
          <w:szCs w:val="30"/>
        </w:rPr>
      </w:pPr>
      <w:r>
        <w:rPr>
          <w:rFonts w:ascii="华文仿宋" w:eastAsia="华文仿宋" w:hAnsi="华文仿宋" w:cs="宋体" w:hint="eastAsia"/>
          <w:b/>
          <w:sz w:val="30"/>
          <w:szCs w:val="30"/>
        </w:rPr>
        <w:t xml:space="preserve"> 化学学院材料与化工</w:t>
      </w:r>
      <w:r w:rsidR="000E36BD" w:rsidRPr="002177DA">
        <w:rPr>
          <w:rFonts w:ascii="华文仿宋" w:eastAsia="华文仿宋" w:hAnsi="华文仿宋" w:cs="宋体" w:hint="eastAsia"/>
          <w:b/>
          <w:sz w:val="30"/>
          <w:szCs w:val="30"/>
        </w:rPr>
        <w:t>专业学位</w:t>
      </w:r>
      <w:r>
        <w:rPr>
          <w:rFonts w:ascii="华文仿宋" w:eastAsia="华文仿宋" w:hAnsi="华文仿宋" w:cs="宋体" w:hint="eastAsia"/>
          <w:b/>
          <w:sz w:val="30"/>
          <w:szCs w:val="30"/>
        </w:rPr>
        <w:t>硕士生实行统一答辩的实施细则</w:t>
      </w:r>
    </w:p>
    <w:p w14:paraId="6FA02A50" w14:textId="77777777" w:rsidR="009F063A" w:rsidRDefault="009F063A">
      <w:pPr>
        <w:spacing w:line="360" w:lineRule="auto"/>
        <w:ind w:rightChars="-27" w:right="-57" w:firstLineChars="200" w:firstLine="480"/>
        <w:rPr>
          <w:rFonts w:ascii="华文仿宋" w:eastAsia="华文仿宋" w:hAnsi="华文仿宋" w:cs="宋体"/>
          <w:sz w:val="24"/>
          <w:szCs w:val="24"/>
        </w:rPr>
      </w:pPr>
    </w:p>
    <w:p w14:paraId="6E842975" w14:textId="77777777"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sz w:val="28"/>
          <w:szCs w:val="28"/>
        </w:rPr>
        <w:t>1.答辩要求：</w:t>
      </w:r>
    </w:p>
    <w:p w14:paraId="5F376B02" w14:textId="681EBA5A" w:rsidR="009F063A"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（1）答辩组须在每年</w:t>
      </w:r>
      <w:r w:rsidR="00B15209">
        <w:rPr>
          <w:rFonts w:ascii="仿宋" w:eastAsia="仿宋" w:hAnsi="仿宋"/>
          <w:sz w:val="28"/>
          <w:szCs w:val="28"/>
        </w:rPr>
        <w:t>6</w:t>
      </w:r>
      <w:r w:rsidR="00B15209">
        <w:rPr>
          <w:rFonts w:ascii="仿宋" w:eastAsia="仿宋" w:hAnsi="仿宋" w:hint="eastAsia"/>
          <w:sz w:val="28"/>
          <w:szCs w:val="28"/>
        </w:rPr>
        <w:t>月初</w:t>
      </w:r>
      <w:r>
        <w:rPr>
          <w:rFonts w:ascii="仿宋" w:eastAsia="仿宋" w:hAnsi="仿宋" w:hint="eastAsia"/>
          <w:sz w:val="28"/>
          <w:szCs w:val="28"/>
        </w:rPr>
        <w:t>或</w:t>
      </w:r>
      <w:r w:rsidR="00B15209">
        <w:rPr>
          <w:rFonts w:ascii="仿宋" w:eastAsia="仿宋" w:hAnsi="仿宋"/>
          <w:sz w:val="28"/>
          <w:szCs w:val="28"/>
        </w:rPr>
        <w:t>12</w:t>
      </w:r>
      <w:r w:rsidR="00B15209">
        <w:rPr>
          <w:rFonts w:ascii="仿宋" w:eastAsia="仿宋" w:hAnsi="仿宋" w:hint="eastAsia"/>
          <w:sz w:val="28"/>
          <w:szCs w:val="28"/>
        </w:rPr>
        <w:t>月初</w:t>
      </w:r>
      <w:r w:rsidR="00C16CAC">
        <w:rPr>
          <w:rFonts w:ascii="仿宋" w:eastAsia="仿宋" w:hAnsi="仿宋" w:hint="eastAsia"/>
          <w:sz w:val="28"/>
          <w:szCs w:val="28"/>
        </w:rPr>
        <w:t>（具体时间以当年通知为准）</w:t>
      </w:r>
      <w:r>
        <w:rPr>
          <w:rFonts w:ascii="仿宋" w:eastAsia="仿宋" w:hAnsi="仿宋" w:hint="eastAsia"/>
          <w:sz w:val="28"/>
          <w:szCs w:val="28"/>
        </w:rPr>
        <w:t>完成硕士统一答辩。各答辩委员会组成成员须经学位审核组审核同意，且符合南开大学硕士生毕业文件要求，论文答辩委员会由3～5人（指导教师</w:t>
      </w:r>
      <w:r w:rsidR="00DE6A65">
        <w:rPr>
          <w:rFonts w:ascii="仿宋" w:eastAsia="仿宋" w:hAnsi="仿宋" w:hint="eastAsia"/>
          <w:sz w:val="28"/>
          <w:szCs w:val="28"/>
        </w:rPr>
        <w:t>不</w:t>
      </w:r>
      <w:r>
        <w:rPr>
          <w:rFonts w:ascii="仿宋" w:eastAsia="仿宋" w:hAnsi="仿宋" w:hint="eastAsia"/>
          <w:sz w:val="28"/>
          <w:szCs w:val="28"/>
        </w:rPr>
        <w:t>参加答辩委员会）组成，其中应有相关行业实践领域具有高级专业技术职务的校外专家1名。</w:t>
      </w:r>
      <w:r w:rsidR="004C7135" w:rsidRPr="004C7135">
        <w:rPr>
          <w:rFonts w:ascii="仿宋" w:eastAsia="仿宋" w:hAnsi="仿宋" w:hint="eastAsia"/>
          <w:sz w:val="28"/>
          <w:szCs w:val="28"/>
        </w:rPr>
        <w:t>导师须回避本课题组硕士生答辩</w:t>
      </w:r>
      <w:r>
        <w:rPr>
          <w:rFonts w:ascii="仿宋" w:eastAsia="仿宋" w:hAnsi="仿宋" w:hint="eastAsia"/>
          <w:sz w:val="28"/>
          <w:szCs w:val="28"/>
        </w:rPr>
        <w:t>；答辩委员应具有副教授及以上或相当职称。答辩委员会设答辩秘书（讲师及以上职称）一人作为答辩记录人。</w:t>
      </w:r>
    </w:p>
    <w:p w14:paraId="6C110F27" w14:textId="548CA64A"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（2） 硕士完成论文送审工作后，需向答辩委员会提交</w:t>
      </w:r>
      <w:r>
        <w:rPr>
          <w:rFonts w:ascii="仿宋" w:eastAsia="仿宋" w:hAnsi="仿宋"/>
          <w:sz w:val="28"/>
          <w:szCs w:val="28"/>
        </w:rPr>
        <w:t>5</w:t>
      </w:r>
      <w:r>
        <w:rPr>
          <w:rFonts w:ascii="仿宋" w:eastAsia="仿宋" w:hAnsi="仿宋" w:hint="eastAsia"/>
          <w:sz w:val="28"/>
          <w:szCs w:val="28"/>
        </w:rPr>
        <w:t>本毕业论文。答辩时间</w:t>
      </w:r>
      <w:r w:rsidR="000E36BD" w:rsidRPr="002177DA">
        <w:rPr>
          <w:rFonts w:ascii="仿宋" w:eastAsia="仿宋" w:hAnsi="仿宋" w:hint="eastAsia"/>
          <w:sz w:val="28"/>
          <w:szCs w:val="28"/>
        </w:rPr>
        <w:t>按学校要求执行</w:t>
      </w:r>
      <w:r>
        <w:rPr>
          <w:rFonts w:ascii="仿宋" w:eastAsia="仿宋" w:hAnsi="仿宋" w:hint="eastAsia"/>
          <w:sz w:val="28"/>
          <w:szCs w:val="28"/>
        </w:rPr>
        <w:t>。答辩委员会根据硕士生毕业（学位）论文质量、答辩情况和原始实验记录三项分别进行评分。答辩情况和毕业论文主要审查工作的创新性、学术水平和工作量。另外毕业论文还要审查写作是否规范。</w:t>
      </w:r>
      <w:r w:rsidR="005160AC" w:rsidRPr="005160AC">
        <w:rPr>
          <w:rFonts w:ascii="仿宋" w:eastAsia="仿宋" w:hAnsi="仿宋" w:hint="eastAsia"/>
          <w:sz w:val="28"/>
          <w:szCs w:val="28"/>
        </w:rPr>
        <w:t>原始实验记录的成绩记入复审成绩，如果审核委员会委员超过二分之一不同意，视为复审实验记录不通过</w:t>
      </w:r>
      <w:r>
        <w:rPr>
          <w:rFonts w:ascii="仿宋" w:eastAsia="仿宋" w:hAnsi="仿宋" w:hint="eastAsia"/>
          <w:sz w:val="28"/>
          <w:szCs w:val="28"/>
        </w:rPr>
        <w:t>。原始实验记录不合格的，直接计为答辩不通过，不再参加复审。答辩情况、毕业论文和原始实验记录评分权重相同。每组评分区间为：优秀（</w:t>
      </w:r>
      <w:r>
        <w:rPr>
          <w:rFonts w:ascii="仿宋" w:eastAsia="仿宋" w:hAnsi="仿宋"/>
          <w:sz w:val="28"/>
          <w:szCs w:val="28"/>
        </w:rPr>
        <w:t>90</w:t>
      </w:r>
      <w:r>
        <w:rPr>
          <w:rFonts w:ascii="仿宋" w:eastAsia="仿宋" w:hAnsi="仿宋" w:hint="eastAsia"/>
          <w:sz w:val="28"/>
          <w:szCs w:val="28"/>
        </w:rPr>
        <w:t>分及以上）占</w:t>
      </w:r>
      <w:r>
        <w:rPr>
          <w:rFonts w:ascii="仿宋" w:eastAsia="仿宋" w:hAnsi="仿宋"/>
          <w:sz w:val="28"/>
          <w:szCs w:val="28"/>
        </w:rPr>
        <w:t>30%</w:t>
      </w:r>
      <w:r>
        <w:rPr>
          <w:rFonts w:ascii="仿宋" w:eastAsia="仿宋" w:hAnsi="仿宋" w:hint="eastAsia"/>
          <w:sz w:val="28"/>
          <w:szCs w:val="28"/>
        </w:rPr>
        <w:t>；良好（</w:t>
      </w:r>
      <w:r>
        <w:rPr>
          <w:rFonts w:ascii="仿宋" w:eastAsia="仿宋" w:hAnsi="仿宋"/>
          <w:sz w:val="28"/>
          <w:szCs w:val="28"/>
        </w:rPr>
        <w:t>70</w:t>
      </w:r>
      <w:r>
        <w:rPr>
          <w:rFonts w:ascii="仿宋" w:eastAsia="仿宋" w:hAnsi="仿宋" w:hint="eastAsia"/>
          <w:sz w:val="28"/>
          <w:szCs w:val="28"/>
        </w:rPr>
        <w:t>分</w:t>
      </w:r>
      <w:r>
        <w:rPr>
          <w:rFonts w:ascii="仿宋" w:eastAsia="仿宋" w:hAnsi="仿宋"/>
          <w:sz w:val="28"/>
          <w:szCs w:val="28"/>
        </w:rPr>
        <w:t>-90</w:t>
      </w:r>
      <w:r>
        <w:rPr>
          <w:rFonts w:ascii="仿宋" w:eastAsia="仿宋" w:hAnsi="仿宋" w:hint="eastAsia"/>
          <w:sz w:val="28"/>
          <w:szCs w:val="28"/>
        </w:rPr>
        <w:t>分，含</w:t>
      </w:r>
      <w:r>
        <w:rPr>
          <w:rFonts w:ascii="仿宋" w:eastAsia="仿宋" w:hAnsi="仿宋"/>
          <w:sz w:val="28"/>
          <w:szCs w:val="28"/>
        </w:rPr>
        <w:t>70</w:t>
      </w:r>
      <w:r>
        <w:rPr>
          <w:rFonts w:ascii="仿宋" w:eastAsia="仿宋" w:hAnsi="仿宋" w:hint="eastAsia"/>
          <w:sz w:val="28"/>
          <w:szCs w:val="28"/>
        </w:rPr>
        <w:t>分）占</w:t>
      </w:r>
      <w:r>
        <w:rPr>
          <w:rFonts w:ascii="仿宋" w:eastAsia="仿宋" w:hAnsi="仿宋"/>
          <w:sz w:val="28"/>
          <w:szCs w:val="28"/>
        </w:rPr>
        <w:t>50%</w:t>
      </w:r>
      <w:r>
        <w:rPr>
          <w:rFonts w:ascii="仿宋" w:eastAsia="仿宋" w:hAnsi="仿宋" w:hint="eastAsia"/>
          <w:sz w:val="28"/>
          <w:szCs w:val="28"/>
        </w:rPr>
        <w:t>；通过（</w:t>
      </w:r>
      <w:r>
        <w:rPr>
          <w:rFonts w:ascii="仿宋" w:eastAsia="仿宋" w:hAnsi="仿宋"/>
          <w:sz w:val="28"/>
          <w:szCs w:val="28"/>
        </w:rPr>
        <w:t>70</w:t>
      </w:r>
      <w:r>
        <w:rPr>
          <w:rFonts w:ascii="仿宋" w:eastAsia="仿宋" w:hAnsi="仿宋" w:hint="eastAsia"/>
          <w:sz w:val="28"/>
          <w:szCs w:val="28"/>
        </w:rPr>
        <w:t>分以下）占</w:t>
      </w:r>
      <w:r>
        <w:rPr>
          <w:rFonts w:ascii="仿宋" w:eastAsia="仿宋" w:hAnsi="仿宋"/>
          <w:sz w:val="28"/>
          <w:szCs w:val="28"/>
        </w:rPr>
        <w:t>20%</w:t>
      </w:r>
      <w:r>
        <w:rPr>
          <w:rFonts w:ascii="仿宋" w:eastAsia="仿宋" w:hAnsi="仿宋" w:hint="eastAsia"/>
          <w:sz w:val="28"/>
          <w:szCs w:val="28"/>
        </w:rPr>
        <w:t>；</w:t>
      </w:r>
      <w:r>
        <w:rPr>
          <w:rFonts w:ascii="仿宋" w:eastAsia="仿宋" w:hAnsi="仿宋"/>
          <w:sz w:val="28"/>
          <w:szCs w:val="28"/>
        </w:rPr>
        <w:t>60</w:t>
      </w:r>
      <w:r>
        <w:rPr>
          <w:rFonts w:ascii="仿宋" w:eastAsia="仿宋" w:hAnsi="仿宋" w:hint="eastAsia"/>
          <w:sz w:val="28"/>
          <w:szCs w:val="28"/>
        </w:rPr>
        <w:t>分以下为不通过。</w:t>
      </w:r>
    </w:p>
    <w:p w14:paraId="657F4CCB" w14:textId="77777777"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复审要求：</w:t>
      </w:r>
    </w:p>
    <w:p w14:paraId="5FB1EAE0" w14:textId="30478F9B"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（1） 根据答辩结果，</w:t>
      </w:r>
      <w:r w:rsidR="00037724" w:rsidRPr="005764C0">
        <w:rPr>
          <w:rFonts w:ascii="仿宋" w:eastAsia="仿宋" w:hAnsi="仿宋" w:hint="eastAsia"/>
          <w:sz w:val="28"/>
          <w:szCs w:val="28"/>
        </w:rPr>
        <w:t>每组通过答辩且答辩成绩排名最后2名需</w:t>
      </w:r>
      <w:r w:rsidR="00037724" w:rsidRPr="005764C0">
        <w:rPr>
          <w:rFonts w:ascii="仿宋" w:eastAsia="仿宋" w:hAnsi="仿宋" w:hint="eastAsia"/>
          <w:sz w:val="28"/>
          <w:szCs w:val="28"/>
        </w:rPr>
        <w:lastRenderedPageBreak/>
        <w:t>经化学工程专业学位审核组审核确定是否参加复审</w:t>
      </w:r>
      <w:r w:rsidR="005764C0">
        <w:rPr>
          <w:rFonts w:ascii="仿宋" w:eastAsia="仿宋" w:hAnsi="仿宋" w:hint="eastAsia"/>
          <w:sz w:val="28"/>
          <w:szCs w:val="28"/>
        </w:rPr>
        <w:t>。</w:t>
      </w:r>
    </w:p>
    <w:p w14:paraId="478C7921" w14:textId="1E26F157"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参加复审的硕士根据答辩委员会给出的具体意见修改毕业论文，在每年</w:t>
      </w:r>
      <w:r>
        <w:rPr>
          <w:rFonts w:ascii="仿宋" w:eastAsia="仿宋" w:hAnsi="仿宋"/>
          <w:sz w:val="28"/>
          <w:szCs w:val="28"/>
        </w:rPr>
        <w:t>6</w:t>
      </w:r>
      <w:r>
        <w:rPr>
          <w:rFonts w:ascii="仿宋" w:eastAsia="仿宋" w:hAnsi="仿宋" w:hint="eastAsia"/>
          <w:sz w:val="28"/>
          <w:szCs w:val="28"/>
        </w:rPr>
        <w:t>月或</w:t>
      </w:r>
      <w:r>
        <w:rPr>
          <w:rFonts w:ascii="仿宋" w:eastAsia="仿宋" w:hAnsi="仿宋"/>
          <w:sz w:val="28"/>
          <w:szCs w:val="28"/>
        </w:rPr>
        <w:t>12</w:t>
      </w:r>
      <w:r>
        <w:rPr>
          <w:rFonts w:ascii="仿宋" w:eastAsia="仿宋" w:hAnsi="仿宋" w:hint="eastAsia"/>
          <w:sz w:val="28"/>
          <w:szCs w:val="28"/>
        </w:rPr>
        <w:t>初化学学位评定分委员会召开前参加论文复审和答辩复审。</w:t>
      </w:r>
      <w:r>
        <w:rPr>
          <w:rFonts w:ascii="仿宋" w:eastAsia="仿宋" w:hAnsi="仿宋"/>
          <w:sz w:val="28"/>
          <w:szCs w:val="28"/>
        </w:rPr>
        <w:t>参加复审的学生须在</w:t>
      </w:r>
      <w:r>
        <w:rPr>
          <w:rFonts w:ascii="仿宋" w:eastAsia="仿宋" w:hAnsi="仿宋" w:hint="eastAsia"/>
          <w:sz w:val="28"/>
          <w:szCs w:val="28"/>
        </w:rPr>
        <w:t>5月底或11月底提</w:t>
      </w:r>
      <w:r>
        <w:rPr>
          <w:rFonts w:ascii="仿宋" w:eastAsia="仿宋" w:hAnsi="仿宋"/>
          <w:sz w:val="28"/>
          <w:szCs w:val="28"/>
        </w:rPr>
        <w:t>交3本修改后的毕业论文</w:t>
      </w:r>
      <w:r>
        <w:rPr>
          <w:rFonts w:ascii="仿宋" w:eastAsia="仿宋" w:hAnsi="仿宋" w:hint="eastAsia"/>
          <w:sz w:val="28"/>
          <w:szCs w:val="28"/>
        </w:rPr>
        <w:t>进行院内匿名评审</w:t>
      </w:r>
      <w:r>
        <w:rPr>
          <w:rFonts w:ascii="仿宋" w:eastAsia="仿宋" w:hAnsi="仿宋"/>
          <w:sz w:val="28"/>
          <w:szCs w:val="28"/>
        </w:rPr>
        <w:t>，确定</w:t>
      </w:r>
      <w:r>
        <w:rPr>
          <w:rFonts w:ascii="仿宋" w:eastAsia="仿宋" w:hAnsi="仿宋" w:hint="eastAsia"/>
          <w:sz w:val="28"/>
          <w:szCs w:val="28"/>
        </w:rPr>
        <w:t>3位评阅人</w:t>
      </w:r>
      <w:r w:rsidR="007047BC">
        <w:rPr>
          <w:rFonts w:ascii="仿宋" w:eastAsia="仿宋" w:hAnsi="仿宋" w:hint="eastAsia"/>
          <w:sz w:val="28"/>
          <w:szCs w:val="28"/>
        </w:rPr>
        <w:t>再次评审</w:t>
      </w:r>
      <w:r>
        <w:rPr>
          <w:rFonts w:ascii="仿宋" w:eastAsia="仿宋" w:hAnsi="仿宋"/>
          <w:sz w:val="28"/>
          <w:szCs w:val="28"/>
        </w:rPr>
        <w:t>，</w:t>
      </w:r>
      <w:r>
        <w:rPr>
          <w:rFonts w:ascii="仿宋" w:eastAsia="仿宋" w:hAnsi="仿宋" w:hint="eastAsia"/>
          <w:sz w:val="28"/>
          <w:szCs w:val="28"/>
        </w:rPr>
        <w:t>其中</w:t>
      </w:r>
      <w:r>
        <w:rPr>
          <w:rFonts w:ascii="仿宋" w:eastAsia="仿宋" w:hAnsi="仿宋"/>
          <w:sz w:val="28"/>
          <w:szCs w:val="28"/>
        </w:rPr>
        <w:t>初审人不能</w:t>
      </w:r>
      <w:r>
        <w:rPr>
          <w:rFonts w:ascii="仿宋" w:eastAsia="仿宋" w:hAnsi="仿宋" w:hint="eastAsia"/>
          <w:sz w:val="28"/>
          <w:szCs w:val="28"/>
        </w:rPr>
        <w:t>复审同一位学生的论文。</w:t>
      </w:r>
      <w:r w:rsidRPr="00321D47">
        <w:rPr>
          <w:rFonts w:ascii="仿宋" w:eastAsia="仿宋" w:hAnsi="仿宋" w:hint="eastAsia"/>
          <w:sz w:val="28"/>
          <w:szCs w:val="28"/>
        </w:rPr>
        <w:t>化学工程专业</w:t>
      </w:r>
      <w:r w:rsidRPr="00DA7698">
        <w:rPr>
          <w:rFonts w:ascii="仿宋" w:eastAsia="仿宋" w:hAnsi="仿宋" w:hint="eastAsia"/>
          <w:sz w:val="28"/>
          <w:szCs w:val="28"/>
        </w:rPr>
        <w:t>学科</w:t>
      </w:r>
      <w:r w:rsidRPr="00321D47">
        <w:rPr>
          <w:rFonts w:ascii="仿宋" w:eastAsia="仿宋" w:hAnsi="仿宋" w:hint="eastAsia"/>
          <w:sz w:val="28"/>
          <w:szCs w:val="28"/>
        </w:rPr>
        <w:t>负</w:t>
      </w:r>
      <w:r>
        <w:rPr>
          <w:rFonts w:ascii="仿宋" w:eastAsia="仿宋" w:hAnsi="仿宋" w:hint="eastAsia"/>
          <w:sz w:val="28"/>
          <w:szCs w:val="28"/>
        </w:rPr>
        <w:t>责论文送审、收回和评阅结果统计工作。如果有</w:t>
      </w:r>
      <w:r>
        <w:rPr>
          <w:rFonts w:ascii="仿宋" w:eastAsia="仿宋" w:hAnsi="仿宋"/>
          <w:sz w:val="28"/>
          <w:szCs w:val="28"/>
        </w:rPr>
        <w:t>2位</w:t>
      </w:r>
      <w:r>
        <w:rPr>
          <w:rFonts w:ascii="仿宋" w:eastAsia="仿宋" w:hAnsi="仿宋" w:hint="eastAsia"/>
          <w:sz w:val="28"/>
          <w:szCs w:val="28"/>
        </w:rPr>
        <w:t>复审</w:t>
      </w:r>
      <w:r>
        <w:rPr>
          <w:rFonts w:ascii="仿宋" w:eastAsia="仿宋" w:hAnsi="仿宋"/>
          <w:sz w:val="28"/>
          <w:szCs w:val="28"/>
        </w:rPr>
        <w:t>人认为修改后的毕业论文</w:t>
      </w:r>
      <w:r>
        <w:rPr>
          <w:rFonts w:ascii="仿宋" w:eastAsia="仿宋" w:hAnsi="仿宋" w:hint="eastAsia"/>
          <w:sz w:val="28"/>
          <w:szCs w:val="28"/>
        </w:rPr>
        <w:t>未达到硕士学位的学术水平</w:t>
      </w:r>
      <w:r>
        <w:rPr>
          <w:rFonts w:ascii="仿宋" w:eastAsia="仿宋" w:hAnsi="仿宋"/>
          <w:sz w:val="28"/>
          <w:szCs w:val="28"/>
        </w:rPr>
        <w:t>，视为复审毕业论文不通过</w:t>
      </w:r>
      <w:r>
        <w:rPr>
          <w:rFonts w:ascii="仿宋" w:eastAsia="仿宋" w:hAnsi="仿宋" w:hint="eastAsia"/>
          <w:sz w:val="28"/>
          <w:szCs w:val="28"/>
        </w:rPr>
        <w:t>。复审论文评审不通过，直接计为复审不通过，不再参加复审答辩。</w:t>
      </w:r>
    </w:p>
    <w:p w14:paraId="730FB416" w14:textId="77777777"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（3）参加复审答辩的硕士需在每年6月初或12月初召开的复审会上再次报告论文修改情况，包括</w:t>
      </w:r>
      <w:r>
        <w:rPr>
          <w:rFonts w:ascii="仿宋" w:eastAsia="仿宋" w:hAnsi="仿宋"/>
          <w:sz w:val="28"/>
          <w:szCs w:val="28"/>
        </w:rPr>
        <w:t>10</w:t>
      </w:r>
      <w:r>
        <w:rPr>
          <w:rFonts w:ascii="仿宋" w:eastAsia="仿宋" w:hAnsi="仿宋" w:hint="eastAsia"/>
          <w:sz w:val="28"/>
          <w:szCs w:val="28"/>
        </w:rPr>
        <w:t>分钟</w:t>
      </w:r>
      <w:r>
        <w:rPr>
          <w:rFonts w:ascii="仿宋" w:eastAsia="仿宋" w:hAnsi="仿宋"/>
          <w:sz w:val="28"/>
          <w:szCs w:val="28"/>
        </w:rPr>
        <w:t>PPT</w:t>
      </w:r>
      <w:r>
        <w:rPr>
          <w:rFonts w:ascii="仿宋" w:eastAsia="仿宋" w:hAnsi="仿宋" w:hint="eastAsia"/>
          <w:sz w:val="28"/>
          <w:szCs w:val="28"/>
        </w:rPr>
        <w:t>报告，</w:t>
      </w:r>
      <w:r>
        <w:rPr>
          <w:rFonts w:ascii="仿宋" w:eastAsia="仿宋" w:hAnsi="仿宋"/>
          <w:sz w:val="28"/>
          <w:szCs w:val="28"/>
        </w:rPr>
        <w:t>5</w:t>
      </w:r>
      <w:r>
        <w:rPr>
          <w:rFonts w:ascii="仿宋" w:eastAsia="仿宋" w:hAnsi="仿宋" w:hint="eastAsia"/>
          <w:sz w:val="28"/>
          <w:szCs w:val="28"/>
        </w:rPr>
        <w:t>分钟回答问题，答辩</w:t>
      </w:r>
      <w:r>
        <w:rPr>
          <w:rFonts w:ascii="仿宋" w:eastAsia="仿宋" w:hAnsi="仿宋"/>
          <w:sz w:val="28"/>
          <w:szCs w:val="28"/>
        </w:rPr>
        <w:t>最后</w:t>
      </w:r>
      <w:r>
        <w:rPr>
          <w:rFonts w:ascii="仿宋" w:eastAsia="仿宋" w:hAnsi="仿宋" w:hint="eastAsia"/>
          <w:sz w:val="28"/>
          <w:szCs w:val="28"/>
        </w:rPr>
        <w:t>要求用</w:t>
      </w:r>
      <w:r>
        <w:rPr>
          <w:rFonts w:ascii="仿宋" w:eastAsia="仿宋" w:hAnsi="仿宋"/>
          <w:sz w:val="28"/>
          <w:szCs w:val="28"/>
        </w:rPr>
        <w:t>PPT逐条</w:t>
      </w:r>
      <w:r>
        <w:rPr>
          <w:rFonts w:ascii="仿宋" w:eastAsia="仿宋" w:hAnsi="仿宋" w:hint="eastAsia"/>
          <w:sz w:val="28"/>
          <w:szCs w:val="28"/>
        </w:rPr>
        <w:t>回应第一轮答辩提出的问题和修改意见。复审答辩小组由化学学位评定分委员会委员和第一轮答辩小组的答辩委员会主席组成，复审学生导师不能参加复审答辩。复审答辩小组根据硕士生答辩情况进行评议</w:t>
      </w:r>
      <w:r>
        <w:rPr>
          <w:rFonts w:ascii="仿宋" w:eastAsia="仿宋" w:hAnsi="仿宋"/>
          <w:sz w:val="28"/>
          <w:szCs w:val="28"/>
        </w:rPr>
        <w:t>,</w:t>
      </w:r>
      <w:r>
        <w:rPr>
          <w:rFonts w:ascii="仿宋" w:eastAsia="仿宋" w:hAnsi="仿宋" w:hint="eastAsia"/>
          <w:sz w:val="28"/>
          <w:szCs w:val="28"/>
        </w:rPr>
        <w:t>并给出是否合格的意见。复审答辩采用无记名投票方式。复审答辩不通过的，计为复审未通过。</w:t>
      </w:r>
    </w:p>
    <w:p w14:paraId="3C7CACAC" w14:textId="2251B396"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复审未通过的学生,需经学位分委员会审核，报请研究生院申请办理延期手续。</w:t>
      </w:r>
    </w:p>
    <w:p w14:paraId="12305D46" w14:textId="77777777"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未通过的硕士生需要对毕业论文进行修改。导师应根据答辩委员会意见，制定并提交修改计划。修改论文时间一般为半年，最长不超过一年，且硕士生在校培养年限最长不超过</w:t>
      </w:r>
      <w:r>
        <w:rPr>
          <w:rFonts w:ascii="仿宋" w:eastAsia="仿宋" w:hAnsi="仿宋"/>
          <w:sz w:val="28"/>
          <w:szCs w:val="28"/>
        </w:rPr>
        <w:t>4</w:t>
      </w:r>
      <w:r>
        <w:rPr>
          <w:rFonts w:ascii="仿宋" w:eastAsia="仿宋" w:hAnsi="仿宋" w:hint="eastAsia"/>
          <w:sz w:val="28"/>
          <w:szCs w:val="28"/>
        </w:rPr>
        <w:t>年（含休学时间）。学生完成毕业论文修改后，并经导师同意，可申请论文答辩和提出学位申</w:t>
      </w:r>
      <w:r>
        <w:rPr>
          <w:rFonts w:ascii="仿宋" w:eastAsia="仿宋" w:hAnsi="仿宋" w:hint="eastAsia"/>
          <w:sz w:val="28"/>
          <w:szCs w:val="28"/>
        </w:rPr>
        <w:lastRenderedPageBreak/>
        <w:t>请。</w:t>
      </w:r>
    </w:p>
    <w:p w14:paraId="6477030B" w14:textId="77777777"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由于导师未严格管理而导致学生复审答辩不通过的，导师下一年度将减少相应的硕士生招生指标。</w:t>
      </w:r>
    </w:p>
    <w:p w14:paraId="176582B2" w14:textId="5F0D7EBA" w:rsidR="009F063A" w:rsidRDefault="00000000">
      <w:pPr>
        <w:spacing w:line="360" w:lineRule="auto"/>
        <w:ind w:rightChars="-27" w:right="-57" w:firstLineChars="200" w:firstLine="560"/>
        <w:rPr>
          <w:rFonts w:ascii="仿宋" w:eastAsia="仿宋" w:hAnsi="仿宋"/>
          <w:sz w:val="28"/>
          <w:szCs w:val="28"/>
        </w:rPr>
      </w:pPr>
      <w:r>
        <w:rPr>
          <w:rFonts w:ascii="仿宋" w:eastAsia="仿宋" w:hAnsi="仿宋" w:hint="eastAsia"/>
          <w:sz w:val="28"/>
          <w:szCs w:val="28"/>
        </w:rPr>
        <w:t>本细则自</w:t>
      </w:r>
      <w:r>
        <w:rPr>
          <w:rFonts w:ascii="仿宋" w:eastAsia="仿宋" w:hAnsi="仿宋"/>
          <w:sz w:val="28"/>
          <w:szCs w:val="28"/>
        </w:rPr>
        <w:t>2023</w:t>
      </w:r>
      <w:r w:rsidRPr="00464A9E">
        <w:rPr>
          <w:rFonts w:ascii="仿宋" w:eastAsia="仿宋" w:hAnsi="仿宋" w:hint="eastAsia"/>
          <w:sz w:val="28"/>
          <w:szCs w:val="28"/>
        </w:rPr>
        <w:t>届</w:t>
      </w:r>
      <w:r>
        <w:rPr>
          <w:rFonts w:ascii="仿宋" w:eastAsia="仿宋" w:hAnsi="仿宋" w:hint="eastAsia"/>
          <w:sz w:val="28"/>
          <w:szCs w:val="28"/>
        </w:rPr>
        <w:t>毕业生起实行，</w:t>
      </w:r>
      <w:r w:rsidRPr="002177DA">
        <w:rPr>
          <w:rFonts w:ascii="仿宋" w:eastAsia="仿宋" w:hAnsi="仿宋" w:hint="eastAsia"/>
          <w:sz w:val="28"/>
          <w:szCs w:val="28"/>
        </w:rPr>
        <w:t>只适用于化学学院化学工程专业硕士。以前所发相关文件与本细则</w:t>
      </w:r>
      <w:r>
        <w:rPr>
          <w:rFonts w:ascii="仿宋" w:eastAsia="仿宋" w:hAnsi="仿宋" w:hint="eastAsia"/>
          <w:sz w:val="28"/>
          <w:szCs w:val="28"/>
        </w:rPr>
        <w:t>不一致的，以本细则为准。其他</w:t>
      </w:r>
      <w:r w:rsidRPr="007D4B20">
        <w:rPr>
          <w:rFonts w:ascii="仿宋" w:eastAsia="仿宋" w:hAnsi="仿宋" w:hint="eastAsia"/>
          <w:sz w:val="28"/>
          <w:szCs w:val="28"/>
        </w:rPr>
        <w:t>未尽事宜按学校相关规定执行。</w:t>
      </w:r>
    </w:p>
    <w:p w14:paraId="2C5395DF" w14:textId="77777777" w:rsidR="009F063A" w:rsidRDefault="00000000">
      <w:pPr>
        <w:spacing w:beforeLines="50" w:before="156" w:line="360" w:lineRule="auto"/>
        <w:jc w:val="right"/>
        <w:rPr>
          <w:rFonts w:ascii="仿宋" w:eastAsia="仿宋" w:hAnsi="仿宋"/>
          <w:sz w:val="28"/>
          <w:szCs w:val="28"/>
        </w:rPr>
      </w:pPr>
      <w:r>
        <w:rPr>
          <w:rFonts w:ascii="仿宋" w:eastAsia="仿宋" w:hAnsi="仿宋" w:hint="eastAsia"/>
          <w:sz w:val="28"/>
          <w:szCs w:val="28"/>
        </w:rPr>
        <w:t>化学工程专业学位审核组</w:t>
      </w:r>
    </w:p>
    <w:p w14:paraId="1DA95020" w14:textId="77777777" w:rsidR="009F063A" w:rsidRDefault="00000000">
      <w:pPr>
        <w:spacing w:beforeLines="50" w:before="156"/>
        <w:jc w:val="right"/>
        <w:rPr>
          <w:rFonts w:ascii="仿宋" w:eastAsia="仿宋" w:hAnsi="仿宋"/>
          <w:sz w:val="28"/>
          <w:szCs w:val="28"/>
        </w:rPr>
      </w:pPr>
      <w:r>
        <w:rPr>
          <w:rFonts w:ascii="仿宋" w:eastAsia="仿宋" w:hAnsi="仿宋"/>
          <w:sz w:val="28"/>
          <w:szCs w:val="28"/>
        </w:rPr>
        <w:t>2023</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w:t>
      </w:r>
    </w:p>
    <w:p w14:paraId="03739360" w14:textId="77777777" w:rsidR="009F063A" w:rsidRDefault="009F063A">
      <w:pPr>
        <w:spacing w:beforeLines="50" w:before="156" w:line="360" w:lineRule="auto"/>
        <w:jc w:val="center"/>
        <w:rPr>
          <w:rFonts w:ascii="仿宋" w:eastAsia="仿宋" w:hAnsi="仿宋"/>
          <w:sz w:val="28"/>
          <w:szCs w:val="28"/>
        </w:rPr>
      </w:pPr>
    </w:p>
    <w:p w14:paraId="03E982C0" w14:textId="77777777" w:rsidR="009F063A" w:rsidRDefault="00000000">
      <w:pPr>
        <w:spacing w:beforeLines="50" w:before="156" w:line="360" w:lineRule="auto"/>
        <w:jc w:val="center"/>
        <w:rPr>
          <w:rFonts w:ascii="仿宋" w:eastAsia="仿宋" w:hAnsi="仿宋"/>
          <w:sz w:val="28"/>
          <w:szCs w:val="28"/>
        </w:rPr>
      </w:pPr>
      <w:r>
        <w:rPr>
          <w:rFonts w:ascii="仿宋" w:eastAsia="仿宋" w:hAnsi="仿宋" w:hint="eastAsia"/>
          <w:sz w:val="28"/>
          <w:szCs w:val="28"/>
        </w:rPr>
        <w:t>关于复审答辩小组工作权限的说明</w:t>
      </w:r>
    </w:p>
    <w:p w14:paraId="3049AE0F" w14:textId="77777777" w:rsidR="009F063A" w:rsidRDefault="00000000">
      <w:pPr>
        <w:spacing w:beforeLines="50" w:before="156" w:line="360" w:lineRule="auto"/>
        <w:jc w:val="left"/>
        <w:rPr>
          <w:rFonts w:ascii="仿宋" w:eastAsia="仿宋" w:hAnsi="仿宋"/>
          <w:sz w:val="28"/>
          <w:szCs w:val="28"/>
        </w:rPr>
      </w:pPr>
      <w:r>
        <w:rPr>
          <w:rFonts w:ascii="仿宋" w:eastAsia="仿宋" w:hAnsi="仿宋" w:hint="eastAsia"/>
          <w:sz w:val="28"/>
          <w:szCs w:val="28"/>
        </w:rPr>
        <w:t xml:space="preserve">    复审答辩小组的组成及工作权限在化学学位评定分委会领导下执行，复审答辩小组对</w:t>
      </w:r>
      <w:r>
        <w:rPr>
          <w:rFonts w:ascii="仿宋" w:eastAsia="仿宋" w:hAnsi="仿宋"/>
          <w:sz w:val="28"/>
          <w:szCs w:val="28"/>
        </w:rPr>
        <w:t>答辩委员会报请</w:t>
      </w:r>
      <w:r>
        <w:rPr>
          <w:rFonts w:ascii="仿宋" w:eastAsia="仿宋" w:hAnsi="仿宋" w:hint="eastAsia"/>
          <w:sz w:val="28"/>
          <w:szCs w:val="28"/>
        </w:rPr>
        <w:t>的</w:t>
      </w:r>
      <w:r>
        <w:rPr>
          <w:rFonts w:ascii="仿宋" w:eastAsia="仿宋" w:hAnsi="仿宋"/>
          <w:sz w:val="28"/>
          <w:szCs w:val="28"/>
        </w:rPr>
        <w:t>授予硕士学位的决议，</w:t>
      </w:r>
      <w:r>
        <w:rPr>
          <w:rFonts w:ascii="仿宋" w:eastAsia="仿宋" w:hAnsi="仿宋" w:hint="eastAsia"/>
          <w:sz w:val="28"/>
          <w:szCs w:val="28"/>
        </w:rPr>
        <w:t>需做</w:t>
      </w:r>
      <w:r>
        <w:rPr>
          <w:rFonts w:ascii="仿宋" w:eastAsia="仿宋" w:hAnsi="仿宋"/>
          <w:sz w:val="28"/>
          <w:szCs w:val="28"/>
        </w:rPr>
        <w:t>出是否批准的决定。</w:t>
      </w:r>
    </w:p>
    <w:p w14:paraId="15A732AB" w14:textId="77777777" w:rsidR="009F063A" w:rsidRDefault="009F063A">
      <w:pPr>
        <w:spacing w:beforeLines="50" w:before="156"/>
        <w:jc w:val="left"/>
        <w:rPr>
          <w:rFonts w:ascii="仿宋" w:eastAsia="仿宋" w:hAnsi="仿宋"/>
          <w:sz w:val="28"/>
          <w:szCs w:val="28"/>
        </w:rPr>
      </w:pPr>
    </w:p>
    <w:sectPr w:rsidR="009F0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F1D4" w14:textId="77777777" w:rsidR="00D06A39" w:rsidRDefault="00D06A39" w:rsidP="000E36BD">
      <w:r>
        <w:separator/>
      </w:r>
    </w:p>
  </w:endnote>
  <w:endnote w:type="continuationSeparator" w:id="0">
    <w:p w14:paraId="4A17DA9A" w14:textId="77777777" w:rsidR="00D06A39" w:rsidRDefault="00D06A39" w:rsidP="000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3F02" w14:textId="77777777" w:rsidR="00D06A39" w:rsidRDefault="00D06A39" w:rsidP="000E36BD">
      <w:r>
        <w:separator/>
      </w:r>
    </w:p>
  </w:footnote>
  <w:footnote w:type="continuationSeparator" w:id="0">
    <w:p w14:paraId="7369E82A" w14:textId="77777777" w:rsidR="00D06A39" w:rsidRDefault="00D06A39" w:rsidP="000E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4NzgzYjkwOTI2ODE0NmJhZWFlODA3NjE1Y2U3ZmUifQ=="/>
  </w:docVars>
  <w:rsids>
    <w:rsidRoot w:val="008B7E9E"/>
    <w:rsid w:val="00002494"/>
    <w:rsid w:val="000155D4"/>
    <w:rsid w:val="00020607"/>
    <w:rsid w:val="00026293"/>
    <w:rsid w:val="00030C82"/>
    <w:rsid w:val="00032C07"/>
    <w:rsid w:val="00032C22"/>
    <w:rsid w:val="00036331"/>
    <w:rsid w:val="00036FB2"/>
    <w:rsid w:val="00037724"/>
    <w:rsid w:val="00044423"/>
    <w:rsid w:val="0005442F"/>
    <w:rsid w:val="00054D1E"/>
    <w:rsid w:val="00054D77"/>
    <w:rsid w:val="00056F03"/>
    <w:rsid w:val="000622C4"/>
    <w:rsid w:val="000636F5"/>
    <w:rsid w:val="000642F1"/>
    <w:rsid w:val="000650C6"/>
    <w:rsid w:val="00065334"/>
    <w:rsid w:val="00077C18"/>
    <w:rsid w:val="000867F3"/>
    <w:rsid w:val="000945FA"/>
    <w:rsid w:val="000962DD"/>
    <w:rsid w:val="000979B1"/>
    <w:rsid w:val="000A0D68"/>
    <w:rsid w:val="000B45BA"/>
    <w:rsid w:val="000C0004"/>
    <w:rsid w:val="000C0255"/>
    <w:rsid w:val="000E0953"/>
    <w:rsid w:val="000E36BD"/>
    <w:rsid w:val="000F60CA"/>
    <w:rsid w:val="000F755C"/>
    <w:rsid w:val="001003A8"/>
    <w:rsid w:val="00101D3A"/>
    <w:rsid w:val="00102271"/>
    <w:rsid w:val="00104A2B"/>
    <w:rsid w:val="00106CF9"/>
    <w:rsid w:val="00116850"/>
    <w:rsid w:val="001208DF"/>
    <w:rsid w:val="00121F2D"/>
    <w:rsid w:val="00122227"/>
    <w:rsid w:val="001223E1"/>
    <w:rsid w:val="00125D62"/>
    <w:rsid w:val="00126873"/>
    <w:rsid w:val="00131457"/>
    <w:rsid w:val="00133266"/>
    <w:rsid w:val="00134874"/>
    <w:rsid w:val="001359AA"/>
    <w:rsid w:val="00147C7F"/>
    <w:rsid w:val="00151389"/>
    <w:rsid w:val="0015416F"/>
    <w:rsid w:val="00155932"/>
    <w:rsid w:val="00157548"/>
    <w:rsid w:val="001603EC"/>
    <w:rsid w:val="00160C32"/>
    <w:rsid w:val="001615F4"/>
    <w:rsid w:val="00162E26"/>
    <w:rsid w:val="00163099"/>
    <w:rsid w:val="00174A86"/>
    <w:rsid w:val="00177D53"/>
    <w:rsid w:val="001801D2"/>
    <w:rsid w:val="001812C3"/>
    <w:rsid w:val="00184636"/>
    <w:rsid w:val="00185AFE"/>
    <w:rsid w:val="00186A67"/>
    <w:rsid w:val="00194E53"/>
    <w:rsid w:val="001A5D8A"/>
    <w:rsid w:val="001B5699"/>
    <w:rsid w:val="001B61C6"/>
    <w:rsid w:val="001C0C28"/>
    <w:rsid w:val="001D2962"/>
    <w:rsid w:val="001D4AA0"/>
    <w:rsid w:val="001E5568"/>
    <w:rsid w:val="001E568A"/>
    <w:rsid w:val="001F0A2E"/>
    <w:rsid w:val="001F1E55"/>
    <w:rsid w:val="001F6D80"/>
    <w:rsid w:val="00200D6A"/>
    <w:rsid w:val="00203D1B"/>
    <w:rsid w:val="00210909"/>
    <w:rsid w:val="00210EB8"/>
    <w:rsid w:val="0021397A"/>
    <w:rsid w:val="00214698"/>
    <w:rsid w:val="00215F3F"/>
    <w:rsid w:val="002177DA"/>
    <w:rsid w:val="0022375F"/>
    <w:rsid w:val="002271AE"/>
    <w:rsid w:val="002310FD"/>
    <w:rsid w:val="002312B2"/>
    <w:rsid w:val="00232527"/>
    <w:rsid w:val="00233A83"/>
    <w:rsid w:val="002361CF"/>
    <w:rsid w:val="002410EF"/>
    <w:rsid w:val="00243F37"/>
    <w:rsid w:val="00247DD6"/>
    <w:rsid w:val="002510CC"/>
    <w:rsid w:val="00251809"/>
    <w:rsid w:val="00251D35"/>
    <w:rsid w:val="00271F70"/>
    <w:rsid w:val="0027520B"/>
    <w:rsid w:val="0028103E"/>
    <w:rsid w:val="00283412"/>
    <w:rsid w:val="0028673D"/>
    <w:rsid w:val="002939FB"/>
    <w:rsid w:val="002A6109"/>
    <w:rsid w:val="002B54EA"/>
    <w:rsid w:val="002D0168"/>
    <w:rsid w:val="002D64BB"/>
    <w:rsid w:val="002D7629"/>
    <w:rsid w:val="002D7D50"/>
    <w:rsid w:val="002E112A"/>
    <w:rsid w:val="002F282F"/>
    <w:rsid w:val="002F61CD"/>
    <w:rsid w:val="002F79E4"/>
    <w:rsid w:val="00303E16"/>
    <w:rsid w:val="0030530E"/>
    <w:rsid w:val="00305C29"/>
    <w:rsid w:val="00310007"/>
    <w:rsid w:val="00311CC4"/>
    <w:rsid w:val="00313B64"/>
    <w:rsid w:val="00315D10"/>
    <w:rsid w:val="00316DD2"/>
    <w:rsid w:val="00317D97"/>
    <w:rsid w:val="00321D47"/>
    <w:rsid w:val="00326872"/>
    <w:rsid w:val="00337981"/>
    <w:rsid w:val="00341044"/>
    <w:rsid w:val="0034392A"/>
    <w:rsid w:val="00346B3E"/>
    <w:rsid w:val="0035202D"/>
    <w:rsid w:val="0035215B"/>
    <w:rsid w:val="00360FBD"/>
    <w:rsid w:val="00361A8A"/>
    <w:rsid w:val="00366E76"/>
    <w:rsid w:val="00367116"/>
    <w:rsid w:val="003702F2"/>
    <w:rsid w:val="00371678"/>
    <w:rsid w:val="00371C22"/>
    <w:rsid w:val="00374131"/>
    <w:rsid w:val="00374BAB"/>
    <w:rsid w:val="00377AA9"/>
    <w:rsid w:val="00377D82"/>
    <w:rsid w:val="00377F9A"/>
    <w:rsid w:val="003815EA"/>
    <w:rsid w:val="00384E89"/>
    <w:rsid w:val="00384EB6"/>
    <w:rsid w:val="0039437B"/>
    <w:rsid w:val="00397097"/>
    <w:rsid w:val="003A2085"/>
    <w:rsid w:val="003A2779"/>
    <w:rsid w:val="003A4CBC"/>
    <w:rsid w:val="003B1561"/>
    <w:rsid w:val="003B58C0"/>
    <w:rsid w:val="003C1319"/>
    <w:rsid w:val="003C5ACD"/>
    <w:rsid w:val="003D16CD"/>
    <w:rsid w:val="003D6C8C"/>
    <w:rsid w:val="003E24A6"/>
    <w:rsid w:val="003E332C"/>
    <w:rsid w:val="003E367C"/>
    <w:rsid w:val="003E3DD9"/>
    <w:rsid w:val="003E5A1A"/>
    <w:rsid w:val="003F2322"/>
    <w:rsid w:val="003F4204"/>
    <w:rsid w:val="003F70D6"/>
    <w:rsid w:val="00402853"/>
    <w:rsid w:val="00414992"/>
    <w:rsid w:val="004333E0"/>
    <w:rsid w:val="00433D71"/>
    <w:rsid w:val="004375BC"/>
    <w:rsid w:val="00440CD7"/>
    <w:rsid w:val="004420F0"/>
    <w:rsid w:val="00446309"/>
    <w:rsid w:val="00461A72"/>
    <w:rsid w:val="00464A9E"/>
    <w:rsid w:val="004730B4"/>
    <w:rsid w:val="00474A97"/>
    <w:rsid w:val="0048626E"/>
    <w:rsid w:val="00493009"/>
    <w:rsid w:val="00495A81"/>
    <w:rsid w:val="00497533"/>
    <w:rsid w:val="004A5A4E"/>
    <w:rsid w:val="004A74D6"/>
    <w:rsid w:val="004C0310"/>
    <w:rsid w:val="004C38FE"/>
    <w:rsid w:val="004C7135"/>
    <w:rsid w:val="004D2F93"/>
    <w:rsid w:val="004D3435"/>
    <w:rsid w:val="004D5D75"/>
    <w:rsid w:val="004E0CC1"/>
    <w:rsid w:val="004E1DC9"/>
    <w:rsid w:val="004E1F35"/>
    <w:rsid w:val="004E29A5"/>
    <w:rsid w:val="004E58C4"/>
    <w:rsid w:val="004E606E"/>
    <w:rsid w:val="004F1C71"/>
    <w:rsid w:val="004F710E"/>
    <w:rsid w:val="005013AC"/>
    <w:rsid w:val="00503157"/>
    <w:rsid w:val="00505760"/>
    <w:rsid w:val="00505988"/>
    <w:rsid w:val="005060B0"/>
    <w:rsid w:val="005100D4"/>
    <w:rsid w:val="005130A2"/>
    <w:rsid w:val="0051488B"/>
    <w:rsid w:val="0051516D"/>
    <w:rsid w:val="005160AC"/>
    <w:rsid w:val="00524270"/>
    <w:rsid w:val="00526CFE"/>
    <w:rsid w:val="00531E98"/>
    <w:rsid w:val="0053200A"/>
    <w:rsid w:val="0054626E"/>
    <w:rsid w:val="0055187F"/>
    <w:rsid w:val="00552C73"/>
    <w:rsid w:val="00554039"/>
    <w:rsid w:val="00560C7E"/>
    <w:rsid w:val="00560CF9"/>
    <w:rsid w:val="00566C85"/>
    <w:rsid w:val="00567F8E"/>
    <w:rsid w:val="005764C0"/>
    <w:rsid w:val="00586660"/>
    <w:rsid w:val="00587AE0"/>
    <w:rsid w:val="005908D3"/>
    <w:rsid w:val="005933E2"/>
    <w:rsid w:val="00594EB3"/>
    <w:rsid w:val="005A372E"/>
    <w:rsid w:val="005A41A7"/>
    <w:rsid w:val="005B44A7"/>
    <w:rsid w:val="005B7739"/>
    <w:rsid w:val="005C1088"/>
    <w:rsid w:val="005C3DE4"/>
    <w:rsid w:val="005D5E7B"/>
    <w:rsid w:val="005E0C3E"/>
    <w:rsid w:val="005E2971"/>
    <w:rsid w:val="005F020F"/>
    <w:rsid w:val="005F6CF8"/>
    <w:rsid w:val="005F7376"/>
    <w:rsid w:val="006024A0"/>
    <w:rsid w:val="006133F0"/>
    <w:rsid w:val="00621283"/>
    <w:rsid w:val="00627F6B"/>
    <w:rsid w:val="006301D2"/>
    <w:rsid w:val="00630F07"/>
    <w:rsid w:val="0063777A"/>
    <w:rsid w:val="00637ECB"/>
    <w:rsid w:val="006547C2"/>
    <w:rsid w:val="006562C2"/>
    <w:rsid w:val="006624F5"/>
    <w:rsid w:val="00663CA8"/>
    <w:rsid w:val="00666B6B"/>
    <w:rsid w:val="006675DF"/>
    <w:rsid w:val="006824E8"/>
    <w:rsid w:val="00696339"/>
    <w:rsid w:val="006A4FAB"/>
    <w:rsid w:val="006A73D8"/>
    <w:rsid w:val="006B5265"/>
    <w:rsid w:val="006C0DF0"/>
    <w:rsid w:val="006C0FAB"/>
    <w:rsid w:val="006C5EA0"/>
    <w:rsid w:val="006C7317"/>
    <w:rsid w:val="006D7607"/>
    <w:rsid w:val="006E03F7"/>
    <w:rsid w:val="006E156F"/>
    <w:rsid w:val="006E6958"/>
    <w:rsid w:val="006F0939"/>
    <w:rsid w:val="006F7649"/>
    <w:rsid w:val="00700482"/>
    <w:rsid w:val="0070148C"/>
    <w:rsid w:val="00703266"/>
    <w:rsid w:val="007047BC"/>
    <w:rsid w:val="00712125"/>
    <w:rsid w:val="007121A8"/>
    <w:rsid w:val="00721D88"/>
    <w:rsid w:val="0072335D"/>
    <w:rsid w:val="00727B4A"/>
    <w:rsid w:val="00736DFC"/>
    <w:rsid w:val="007411F5"/>
    <w:rsid w:val="00747157"/>
    <w:rsid w:val="00751367"/>
    <w:rsid w:val="00760E65"/>
    <w:rsid w:val="00764BBB"/>
    <w:rsid w:val="0076762E"/>
    <w:rsid w:val="007705D5"/>
    <w:rsid w:val="00770F52"/>
    <w:rsid w:val="00771869"/>
    <w:rsid w:val="00774C2D"/>
    <w:rsid w:val="0077563C"/>
    <w:rsid w:val="00781D66"/>
    <w:rsid w:val="00785CD7"/>
    <w:rsid w:val="00792016"/>
    <w:rsid w:val="007964B1"/>
    <w:rsid w:val="007B243F"/>
    <w:rsid w:val="007B3A38"/>
    <w:rsid w:val="007C3389"/>
    <w:rsid w:val="007D4817"/>
    <w:rsid w:val="007D4B20"/>
    <w:rsid w:val="007E15DC"/>
    <w:rsid w:val="007E1C94"/>
    <w:rsid w:val="007E2856"/>
    <w:rsid w:val="007E4198"/>
    <w:rsid w:val="007E76CB"/>
    <w:rsid w:val="007F04F4"/>
    <w:rsid w:val="007F4EC7"/>
    <w:rsid w:val="007F5260"/>
    <w:rsid w:val="0080414F"/>
    <w:rsid w:val="008074FB"/>
    <w:rsid w:val="00814539"/>
    <w:rsid w:val="00815D49"/>
    <w:rsid w:val="00830432"/>
    <w:rsid w:val="00831539"/>
    <w:rsid w:val="00833C3C"/>
    <w:rsid w:val="008375B1"/>
    <w:rsid w:val="008377B8"/>
    <w:rsid w:val="0084406D"/>
    <w:rsid w:val="0084494E"/>
    <w:rsid w:val="008525A3"/>
    <w:rsid w:val="00862749"/>
    <w:rsid w:val="008660E3"/>
    <w:rsid w:val="0086709B"/>
    <w:rsid w:val="00873A38"/>
    <w:rsid w:val="00875E47"/>
    <w:rsid w:val="0088036C"/>
    <w:rsid w:val="0088202C"/>
    <w:rsid w:val="00885954"/>
    <w:rsid w:val="00886E8E"/>
    <w:rsid w:val="0089603B"/>
    <w:rsid w:val="008A0851"/>
    <w:rsid w:val="008A1647"/>
    <w:rsid w:val="008A59CA"/>
    <w:rsid w:val="008B1B66"/>
    <w:rsid w:val="008B6C81"/>
    <w:rsid w:val="008B7E9E"/>
    <w:rsid w:val="008C170E"/>
    <w:rsid w:val="008C730C"/>
    <w:rsid w:val="008C7BC8"/>
    <w:rsid w:val="008D0577"/>
    <w:rsid w:val="008D0C38"/>
    <w:rsid w:val="008D0F6A"/>
    <w:rsid w:val="008E142F"/>
    <w:rsid w:val="008E2E1C"/>
    <w:rsid w:val="008E40C3"/>
    <w:rsid w:val="008E4915"/>
    <w:rsid w:val="008E5FFA"/>
    <w:rsid w:val="008F08CA"/>
    <w:rsid w:val="008F10AF"/>
    <w:rsid w:val="008F29D7"/>
    <w:rsid w:val="008F4712"/>
    <w:rsid w:val="00902365"/>
    <w:rsid w:val="009073E7"/>
    <w:rsid w:val="009143D9"/>
    <w:rsid w:val="009158EE"/>
    <w:rsid w:val="009202ED"/>
    <w:rsid w:val="009209B4"/>
    <w:rsid w:val="009311DB"/>
    <w:rsid w:val="00931F0B"/>
    <w:rsid w:val="009605FB"/>
    <w:rsid w:val="00962073"/>
    <w:rsid w:val="00963181"/>
    <w:rsid w:val="00967F78"/>
    <w:rsid w:val="009719C4"/>
    <w:rsid w:val="009774E7"/>
    <w:rsid w:val="00977C59"/>
    <w:rsid w:val="00984FBF"/>
    <w:rsid w:val="00987B16"/>
    <w:rsid w:val="0099053F"/>
    <w:rsid w:val="0099307E"/>
    <w:rsid w:val="009A352D"/>
    <w:rsid w:val="009B34BB"/>
    <w:rsid w:val="009B3802"/>
    <w:rsid w:val="009B4ECB"/>
    <w:rsid w:val="009B6F3B"/>
    <w:rsid w:val="009B72EC"/>
    <w:rsid w:val="009C192C"/>
    <w:rsid w:val="009C5EBE"/>
    <w:rsid w:val="009D118D"/>
    <w:rsid w:val="009D7232"/>
    <w:rsid w:val="009E14EA"/>
    <w:rsid w:val="009F063A"/>
    <w:rsid w:val="009F5465"/>
    <w:rsid w:val="00A06D80"/>
    <w:rsid w:val="00A10BDD"/>
    <w:rsid w:val="00A11393"/>
    <w:rsid w:val="00A12553"/>
    <w:rsid w:val="00A12D9F"/>
    <w:rsid w:val="00A17FA7"/>
    <w:rsid w:val="00A21EFD"/>
    <w:rsid w:val="00A222ED"/>
    <w:rsid w:val="00A337FA"/>
    <w:rsid w:val="00A432B3"/>
    <w:rsid w:val="00A43641"/>
    <w:rsid w:val="00A50CBD"/>
    <w:rsid w:val="00A5199B"/>
    <w:rsid w:val="00A51D3F"/>
    <w:rsid w:val="00A51DEC"/>
    <w:rsid w:val="00A51ECA"/>
    <w:rsid w:val="00A70C9E"/>
    <w:rsid w:val="00A71766"/>
    <w:rsid w:val="00A75B04"/>
    <w:rsid w:val="00A80C01"/>
    <w:rsid w:val="00A85C2E"/>
    <w:rsid w:val="00AA752B"/>
    <w:rsid w:val="00AB6045"/>
    <w:rsid w:val="00AC1406"/>
    <w:rsid w:val="00AC750C"/>
    <w:rsid w:val="00AE0BF9"/>
    <w:rsid w:val="00AE12DA"/>
    <w:rsid w:val="00AE1371"/>
    <w:rsid w:val="00AE4955"/>
    <w:rsid w:val="00AE7A30"/>
    <w:rsid w:val="00AF5A64"/>
    <w:rsid w:val="00B035CA"/>
    <w:rsid w:val="00B07358"/>
    <w:rsid w:val="00B125DA"/>
    <w:rsid w:val="00B13F0F"/>
    <w:rsid w:val="00B15209"/>
    <w:rsid w:val="00B16D38"/>
    <w:rsid w:val="00B16E0A"/>
    <w:rsid w:val="00B2015C"/>
    <w:rsid w:val="00B21F5A"/>
    <w:rsid w:val="00B225E2"/>
    <w:rsid w:val="00B2385F"/>
    <w:rsid w:val="00B45A3E"/>
    <w:rsid w:val="00B553E7"/>
    <w:rsid w:val="00B55690"/>
    <w:rsid w:val="00B55F75"/>
    <w:rsid w:val="00B56B0F"/>
    <w:rsid w:val="00B66608"/>
    <w:rsid w:val="00B745A4"/>
    <w:rsid w:val="00B876AE"/>
    <w:rsid w:val="00B939E9"/>
    <w:rsid w:val="00B946A5"/>
    <w:rsid w:val="00BA2ADD"/>
    <w:rsid w:val="00BB02E8"/>
    <w:rsid w:val="00BB1084"/>
    <w:rsid w:val="00BB10D3"/>
    <w:rsid w:val="00BB1E45"/>
    <w:rsid w:val="00BB48C7"/>
    <w:rsid w:val="00BC02A3"/>
    <w:rsid w:val="00BC17B1"/>
    <w:rsid w:val="00BC537E"/>
    <w:rsid w:val="00BE3EA6"/>
    <w:rsid w:val="00BE5A93"/>
    <w:rsid w:val="00BE6525"/>
    <w:rsid w:val="00BE65A9"/>
    <w:rsid w:val="00BE7150"/>
    <w:rsid w:val="00BF774C"/>
    <w:rsid w:val="00C04AE8"/>
    <w:rsid w:val="00C07106"/>
    <w:rsid w:val="00C12A23"/>
    <w:rsid w:val="00C13B09"/>
    <w:rsid w:val="00C1523B"/>
    <w:rsid w:val="00C16CAC"/>
    <w:rsid w:val="00C1724A"/>
    <w:rsid w:val="00C17EBC"/>
    <w:rsid w:val="00C21CAD"/>
    <w:rsid w:val="00C27A79"/>
    <w:rsid w:val="00C30379"/>
    <w:rsid w:val="00C35964"/>
    <w:rsid w:val="00C37A41"/>
    <w:rsid w:val="00C4045A"/>
    <w:rsid w:val="00C4077F"/>
    <w:rsid w:val="00C420FD"/>
    <w:rsid w:val="00C46CE0"/>
    <w:rsid w:val="00C545C1"/>
    <w:rsid w:val="00C54EB0"/>
    <w:rsid w:val="00C758EB"/>
    <w:rsid w:val="00C765CA"/>
    <w:rsid w:val="00C81808"/>
    <w:rsid w:val="00C84B24"/>
    <w:rsid w:val="00C91316"/>
    <w:rsid w:val="00C93329"/>
    <w:rsid w:val="00C94757"/>
    <w:rsid w:val="00C95419"/>
    <w:rsid w:val="00C95812"/>
    <w:rsid w:val="00C96C38"/>
    <w:rsid w:val="00CA075A"/>
    <w:rsid w:val="00CA0C5B"/>
    <w:rsid w:val="00CA0ECC"/>
    <w:rsid w:val="00CA11E0"/>
    <w:rsid w:val="00CA4409"/>
    <w:rsid w:val="00CA7D19"/>
    <w:rsid w:val="00CB0805"/>
    <w:rsid w:val="00CB376E"/>
    <w:rsid w:val="00CC3039"/>
    <w:rsid w:val="00CC3395"/>
    <w:rsid w:val="00CC57FC"/>
    <w:rsid w:val="00CD091E"/>
    <w:rsid w:val="00CD2725"/>
    <w:rsid w:val="00CD3B14"/>
    <w:rsid w:val="00CD3DC7"/>
    <w:rsid w:val="00CD6A16"/>
    <w:rsid w:val="00CD72AB"/>
    <w:rsid w:val="00CF05BA"/>
    <w:rsid w:val="00CF1F99"/>
    <w:rsid w:val="00CF44EA"/>
    <w:rsid w:val="00D056D3"/>
    <w:rsid w:val="00D05F32"/>
    <w:rsid w:val="00D06A39"/>
    <w:rsid w:val="00D15FA9"/>
    <w:rsid w:val="00D17FE3"/>
    <w:rsid w:val="00D20445"/>
    <w:rsid w:val="00D33163"/>
    <w:rsid w:val="00D33ED4"/>
    <w:rsid w:val="00D43BB1"/>
    <w:rsid w:val="00D43DFE"/>
    <w:rsid w:val="00D44059"/>
    <w:rsid w:val="00D53613"/>
    <w:rsid w:val="00D54A52"/>
    <w:rsid w:val="00D56FEC"/>
    <w:rsid w:val="00D618B9"/>
    <w:rsid w:val="00D63CD9"/>
    <w:rsid w:val="00D654B0"/>
    <w:rsid w:val="00D673CB"/>
    <w:rsid w:val="00D7425F"/>
    <w:rsid w:val="00D74E54"/>
    <w:rsid w:val="00D76458"/>
    <w:rsid w:val="00D8039B"/>
    <w:rsid w:val="00D87F48"/>
    <w:rsid w:val="00D9325F"/>
    <w:rsid w:val="00D94C57"/>
    <w:rsid w:val="00D964FC"/>
    <w:rsid w:val="00DA0785"/>
    <w:rsid w:val="00DA08EB"/>
    <w:rsid w:val="00DA0FC1"/>
    <w:rsid w:val="00DA2EBF"/>
    <w:rsid w:val="00DA698C"/>
    <w:rsid w:val="00DA6D7C"/>
    <w:rsid w:val="00DA761F"/>
    <w:rsid w:val="00DA7698"/>
    <w:rsid w:val="00DB0B04"/>
    <w:rsid w:val="00DB2C78"/>
    <w:rsid w:val="00DB5B45"/>
    <w:rsid w:val="00DC1814"/>
    <w:rsid w:val="00DC1A7D"/>
    <w:rsid w:val="00DC1EBF"/>
    <w:rsid w:val="00DC2952"/>
    <w:rsid w:val="00DC598F"/>
    <w:rsid w:val="00DD4D0C"/>
    <w:rsid w:val="00DD7237"/>
    <w:rsid w:val="00DE01BE"/>
    <w:rsid w:val="00DE6A65"/>
    <w:rsid w:val="00DE749D"/>
    <w:rsid w:val="00DF269A"/>
    <w:rsid w:val="00DF34BD"/>
    <w:rsid w:val="00DF5959"/>
    <w:rsid w:val="00E06F33"/>
    <w:rsid w:val="00E102C6"/>
    <w:rsid w:val="00E12AF0"/>
    <w:rsid w:val="00E16390"/>
    <w:rsid w:val="00E21B79"/>
    <w:rsid w:val="00E2333C"/>
    <w:rsid w:val="00E27375"/>
    <w:rsid w:val="00E27E95"/>
    <w:rsid w:val="00E32C17"/>
    <w:rsid w:val="00E33181"/>
    <w:rsid w:val="00E3623A"/>
    <w:rsid w:val="00E4315E"/>
    <w:rsid w:val="00E45E25"/>
    <w:rsid w:val="00E5551B"/>
    <w:rsid w:val="00E565BE"/>
    <w:rsid w:val="00E60916"/>
    <w:rsid w:val="00E61F8B"/>
    <w:rsid w:val="00E6429C"/>
    <w:rsid w:val="00E728AE"/>
    <w:rsid w:val="00E7362D"/>
    <w:rsid w:val="00E73CDB"/>
    <w:rsid w:val="00E81469"/>
    <w:rsid w:val="00E853D6"/>
    <w:rsid w:val="00E90F02"/>
    <w:rsid w:val="00E91B96"/>
    <w:rsid w:val="00E92156"/>
    <w:rsid w:val="00E96A59"/>
    <w:rsid w:val="00E96DA5"/>
    <w:rsid w:val="00EA504D"/>
    <w:rsid w:val="00EA7359"/>
    <w:rsid w:val="00EB13A3"/>
    <w:rsid w:val="00EB5A16"/>
    <w:rsid w:val="00EC2B16"/>
    <w:rsid w:val="00EC317D"/>
    <w:rsid w:val="00ED1346"/>
    <w:rsid w:val="00ED1560"/>
    <w:rsid w:val="00ED2622"/>
    <w:rsid w:val="00ED56E7"/>
    <w:rsid w:val="00ED79AF"/>
    <w:rsid w:val="00EE29CE"/>
    <w:rsid w:val="00EE354F"/>
    <w:rsid w:val="00EE4919"/>
    <w:rsid w:val="00EE7021"/>
    <w:rsid w:val="00EF12E3"/>
    <w:rsid w:val="00EF5BD3"/>
    <w:rsid w:val="00F0268D"/>
    <w:rsid w:val="00F032E0"/>
    <w:rsid w:val="00F044D2"/>
    <w:rsid w:val="00F10407"/>
    <w:rsid w:val="00F11703"/>
    <w:rsid w:val="00F1190E"/>
    <w:rsid w:val="00F125D4"/>
    <w:rsid w:val="00F12C1C"/>
    <w:rsid w:val="00F13FB9"/>
    <w:rsid w:val="00F1722A"/>
    <w:rsid w:val="00F22484"/>
    <w:rsid w:val="00F234B7"/>
    <w:rsid w:val="00F24BF6"/>
    <w:rsid w:val="00F32FFF"/>
    <w:rsid w:val="00F402F0"/>
    <w:rsid w:val="00F414E5"/>
    <w:rsid w:val="00F43C70"/>
    <w:rsid w:val="00F465B1"/>
    <w:rsid w:val="00F47385"/>
    <w:rsid w:val="00F54400"/>
    <w:rsid w:val="00F55642"/>
    <w:rsid w:val="00F56BEF"/>
    <w:rsid w:val="00F60BB4"/>
    <w:rsid w:val="00F651D0"/>
    <w:rsid w:val="00F710FD"/>
    <w:rsid w:val="00F73B46"/>
    <w:rsid w:val="00F75715"/>
    <w:rsid w:val="00F80A4B"/>
    <w:rsid w:val="00F818F9"/>
    <w:rsid w:val="00F872DB"/>
    <w:rsid w:val="00F90743"/>
    <w:rsid w:val="00F94130"/>
    <w:rsid w:val="00F94302"/>
    <w:rsid w:val="00FA2913"/>
    <w:rsid w:val="00FC0D72"/>
    <w:rsid w:val="00FC58A1"/>
    <w:rsid w:val="00FE0D01"/>
    <w:rsid w:val="00FE726A"/>
    <w:rsid w:val="00FF758C"/>
    <w:rsid w:val="6D6E5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D2738"/>
  <w15:docId w15:val="{7FB63B35-9C5C-4437-BE0C-B8D88397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Balloon Text"/>
    <w:basedOn w:val="a"/>
    <w:link w:val="a6"/>
    <w:uiPriority w:val="99"/>
    <w:semiHidden/>
    <w:rPr>
      <w:sz w:val="18"/>
      <w:szCs w:val="18"/>
    </w:rPr>
  </w:style>
  <w:style w:type="paragraph" w:styleId="a7">
    <w:name w:val="footer"/>
    <w:basedOn w:val="a"/>
    <w:link w:val="a8"/>
    <w:uiPriority w:val="99"/>
    <w:semiHidden/>
    <w:pPr>
      <w:tabs>
        <w:tab w:val="center" w:pos="4153"/>
        <w:tab w:val="right" w:pos="8306"/>
      </w:tabs>
      <w:snapToGrid w:val="0"/>
      <w:jc w:val="left"/>
    </w:pPr>
    <w:rPr>
      <w:sz w:val="18"/>
      <w:szCs w:val="18"/>
    </w:rPr>
  </w:style>
  <w:style w:type="paragraph" w:styleId="a9">
    <w:name w:val="header"/>
    <w:basedOn w:val="a"/>
    <w:link w:val="aa"/>
    <w:uiPriority w:val="99"/>
    <w:semiHidden/>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customStyle="1" w:styleId="aa">
    <w:name w:val="页眉 字符"/>
    <w:basedOn w:val="a0"/>
    <w:link w:val="a9"/>
    <w:uiPriority w:val="99"/>
    <w:semiHidden/>
    <w:locked/>
    <w:rPr>
      <w:rFonts w:cs="Times New Roman"/>
      <w:sz w:val="18"/>
      <w:szCs w:val="18"/>
    </w:rPr>
  </w:style>
  <w:style w:type="character" w:customStyle="1" w:styleId="a8">
    <w:name w:val="页脚 字符"/>
    <w:basedOn w:val="a0"/>
    <w:link w:val="a7"/>
    <w:uiPriority w:val="99"/>
    <w:semiHidden/>
    <w:locked/>
    <w:rPr>
      <w:rFonts w:cs="Times New Roman"/>
      <w:sz w:val="18"/>
      <w:szCs w:val="18"/>
    </w:rPr>
  </w:style>
  <w:style w:type="character" w:customStyle="1" w:styleId="a4">
    <w:name w:val="日期 字符"/>
    <w:basedOn w:val="a0"/>
    <w:link w:val="a3"/>
    <w:uiPriority w:val="99"/>
    <w:semiHidden/>
    <w:locked/>
    <w:rPr>
      <w:rFonts w:cs="Times New Roman"/>
    </w:rPr>
  </w:style>
  <w:style w:type="character" w:customStyle="1" w:styleId="a6">
    <w:name w:val="批注框文本 字符"/>
    <w:basedOn w:val="a0"/>
    <w:link w:val="a5"/>
    <w:uiPriority w:val="99"/>
    <w:semiHidden/>
    <w:rPr>
      <w:rFonts w:cs="Calibri"/>
      <w:sz w:val="0"/>
      <w:szCs w:val="0"/>
    </w:rPr>
  </w:style>
  <w:style w:type="paragraph" w:styleId="ac">
    <w:name w:val="List Paragraph"/>
    <w:basedOn w:val="a"/>
    <w:uiPriority w:val="34"/>
    <w:qFormat/>
    <w:pPr>
      <w:ind w:firstLineChars="200" w:firstLine="420"/>
    </w:pPr>
  </w:style>
  <w:style w:type="paragraph" w:styleId="ad">
    <w:name w:val="Revision"/>
    <w:hidden/>
    <w:uiPriority w:val="99"/>
    <w:semiHidden/>
    <w:rsid w:val="00037724"/>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213</Words>
  <Characters>1215</Characters>
  <Application>Microsoft Office Word</Application>
  <DocSecurity>0</DocSecurity>
  <Lines>10</Lines>
  <Paragraphs>2</Paragraphs>
  <ScaleCrop>false</ScaleCrop>
  <Company>微软用户</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1308883495@qq.com</cp:lastModifiedBy>
  <cp:revision>17</cp:revision>
  <cp:lastPrinted>2023-05-31T09:21:00Z</cp:lastPrinted>
  <dcterms:created xsi:type="dcterms:W3CDTF">2023-05-11T08:25:00Z</dcterms:created>
  <dcterms:modified xsi:type="dcterms:W3CDTF">2023-05-31T09:49:00Z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D971A5323D9441239BCAC74584C65939_13</vt:lpwstr>
  </property>
</Properties>
</file>