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  <w:r>
        <w:drawing>
          <wp:inline distT="0" distB="0" distL="0" distR="0">
            <wp:extent cx="2194560" cy="971550"/>
            <wp:effectExtent l="0" t="0" r="0" b="0"/>
            <wp:docPr id="3" name="图片 3" descr="C:\Users\Administrator\Desktop\2011012014381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1101201438117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00150" cy="120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869" cy="120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1562" w:hanging="1562" w:hangingChars="300"/>
        <w:jc w:val="center"/>
        <w:rPr>
          <w:rFonts w:ascii="华文楷体" w:hAnsi="华文楷体" w:eastAsia="华文楷体"/>
          <w:b/>
          <w:sz w:val="52"/>
          <w:szCs w:val="52"/>
        </w:rPr>
      </w:pPr>
      <w:r>
        <w:rPr>
          <w:rFonts w:hint="eastAsia" w:ascii="华文楷体" w:hAnsi="华文楷体" w:eastAsia="华文楷体"/>
          <w:b/>
          <w:sz w:val="52"/>
          <w:szCs w:val="52"/>
        </w:rPr>
        <w:t>南开大学-香港城市大学</w:t>
      </w:r>
    </w:p>
    <w:p>
      <w:pPr>
        <w:ind w:left="1441" w:hanging="1441" w:hangingChars="300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联合培养博士研究生项目实施办法</w:t>
      </w:r>
    </w:p>
    <w:p>
      <w:pPr>
        <w:jc w:val="left"/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36"/>
          <w:szCs w:val="36"/>
        </w:rPr>
      </w:pPr>
    </w:p>
    <w:p>
      <w:pPr>
        <w:jc w:val="center"/>
        <w:rPr>
          <w:rFonts w:ascii="华文楷体" w:hAnsi="华文楷体" w:eastAsia="华文楷体"/>
          <w:sz w:val="36"/>
          <w:szCs w:val="36"/>
        </w:rPr>
      </w:pPr>
    </w:p>
    <w:p>
      <w:pPr>
        <w:jc w:val="center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南开大学 研究生院</w:t>
      </w:r>
    </w:p>
    <w:p>
      <w:pPr>
        <w:ind w:firstLine="2880" w:firstLineChars="80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二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〇</w:t>
      </w:r>
      <w:r>
        <w:rPr>
          <w:rFonts w:hint="eastAsia" w:ascii="华文楷体" w:hAnsi="华文楷体" w:eastAsia="华文楷体"/>
          <w:sz w:val="36"/>
          <w:szCs w:val="36"/>
        </w:rPr>
        <w:t>二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二</w:t>
      </w:r>
      <w:r>
        <w:rPr>
          <w:rFonts w:hint="eastAsia" w:ascii="华文楷体" w:hAnsi="华文楷体" w:eastAsia="华文楷体"/>
          <w:sz w:val="36"/>
          <w:szCs w:val="36"/>
        </w:rPr>
        <w:t>年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九</w:t>
      </w:r>
      <w:r>
        <w:rPr>
          <w:rFonts w:hint="eastAsia" w:ascii="华文楷体" w:hAnsi="华文楷体" w:eastAsia="华文楷体"/>
          <w:sz w:val="36"/>
          <w:szCs w:val="36"/>
        </w:rPr>
        <w:t>月</w:t>
      </w:r>
    </w:p>
    <w:p>
      <w:pPr>
        <w:pStyle w:val="12"/>
        <w:rPr>
          <w:rFonts w:cstheme="minorBidi"/>
          <w:color w:val="auto"/>
        </w:rPr>
      </w:pPr>
    </w:p>
    <w:p>
      <w:pPr>
        <w:pStyle w:val="12"/>
        <w:rPr>
          <w:rFonts w:cstheme="minorBidi"/>
          <w:color w:val="auto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关于202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/>
          <w:b/>
          <w:sz w:val="28"/>
          <w:szCs w:val="28"/>
        </w:rPr>
        <w:t>年南开大学-香港城市大学联合培养博士研究生项目实施办法</w:t>
      </w:r>
    </w:p>
    <w:p>
      <w:pPr>
        <w:pStyle w:val="12"/>
        <w:rPr>
          <w:rFonts w:ascii="华文仿宋" w:hAnsi="华文仿宋" w:eastAsia="华文仿宋"/>
          <w:color w:val="auto"/>
        </w:rPr>
      </w:pP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一、项目简介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香港城市大学（简称“城大”）是香港特别行政区资助的一所大学，虽然建校仅三十年，但其教育和创新科研水平在世界具一定影响力。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城大是一所综合性大学，共有</w:t>
      </w:r>
      <w:r>
        <w:rPr>
          <w:rFonts w:hint="eastAsia" w:ascii="华文仿宋" w:hAnsi="华文仿宋" w:eastAsia="华文仿宋"/>
          <w:color w:val="auto"/>
          <w:lang w:val="en-US" w:eastAsia="zh-CN"/>
        </w:rPr>
        <w:t>9</w:t>
      </w:r>
      <w:r>
        <w:rPr>
          <w:rFonts w:hint="eastAsia" w:ascii="华文仿宋" w:hAnsi="华文仿宋" w:eastAsia="华文仿宋"/>
          <w:color w:val="auto"/>
        </w:rPr>
        <w:t>所学院</w:t>
      </w:r>
      <w:r>
        <w:rPr>
          <w:rFonts w:hint="eastAsia" w:ascii="华文仿宋" w:hAnsi="华文仿宋" w:eastAsia="华文仿宋"/>
          <w:color w:val="auto"/>
          <w:highlight w:val="none"/>
        </w:rPr>
        <w:t>：</w:t>
      </w:r>
      <w:r>
        <w:rPr>
          <w:rFonts w:hint="eastAsia" w:ascii="华文仿宋" w:hAnsi="华文仿宋" w:eastAsia="华文仿宋"/>
          <w:color w:val="auto"/>
          <w:highlight w:val="none"/>
          <w:lang w:val="en-US" w:eastAsia="zh-CN"/>
        </w:rPr>
        <w:t>工学院、理学院、赛马会动物医学及生命科学院、数据科学学院</w:t>
      </w:r>
      <w:r>
        <w:rPr>
          <w:rFonts w:hint="eastAsia" w:ascii="华文仿宋" w:hAnsi="华文仿宋" w:eastAsia="华文仿宋"/>
          <w:color w:val="auto"/>
          <w:highlight w:val="none"/>
        </w:rPr>
        <w:t>、人文社会科学院、能源及环境学院、商学院、法律学院、创意媒体学院。</w:t>
      </w:r>
      <w:r>
        <w:rPr>
          <w:rFonts w:hint="eastAsia" w:ascii="华文仿宋" w:hAnsi="华文仿宋" w:eastAsia="华文仿宋"/>
          <w:color w:val="auto"/>
        </w:rPr>
        <w:t>城大推行教研合一，课程设计旨在促进知识创造、创新发现和创意思维，使城大成为硏究优异、专业教育出众的全球一流学府。城大是一所现代化国际大学，注重多元化、跨文化学习与全球视野。它拥有来自全球各地，遍及香港、北美、南美、欧洲、亚洲、非洲及澳洲的优良师资。城大与国际学术界建立了密切广泛的合作网络，更和28个国家或地区逾百家著名学府签订了学生及学者交流协议。城大采用英语为教学语言，某些学院同时提供中文作为辅助授课语言。在国际高等教育资讯机构QS 202</w:t>
      </w:r>
      <w:r>
        <w:rPr>
          <w:rFonts w:hint="eastAsia" w:ascii="华文仿宋" w:hAnsi="华文仿宋" w:eastAsia="华文仿宋"/>
          <w:color w:val="auto"/>
          <w:lang w:val="en-US" w:eastAsia="zh-CN"/>
        </w:rPr>
        <w:t>2</w:t>
      </w:r>
      <w:r>
        <w:rPr>
          <w:rFonts w:hint="eastAsia" w:ascii="华文仿宋" w:hAnsi="华文仿宋" w:eastAsia="华文仿宋"/>
          <w:color w:val="auto"/>
        </w:rPr>
        <w:t>年全球大学排名榜上，香港城市大学位居</w:t>
      </w:r>
      <w:r>
        <w:rPr>
          <w:rFonts w:hint="eastAsia" w:ascii="华文仿宋" w:hAnsi="华文仿宋" w:eastAsia="华文仿宋"/>
          <w:color w:val="auto"/>
          <w:lang w:val="en-US" w:eastAsia="zh-CN"/>
        </w:rPr>
        <w:t>54</w:t>
      </w:r>
      <w:r>
        <w:rPr>
          <w:rFonts w:hint="eastAsia" w:ascii="华文仿宋" w:hAnsi="华文仿宋" w:eastAsia="华文仿宋"/>
          <w:color w:val="auto"/>
        </w:rPr>
        <w:t>位；在亚洲大学排名榜上，其名列第</w:t>
      </w:r>
      <w:r>
        <w:rPr>
          <w:rFonts w:hint="eastAsia" w:ascii="华文仿宋" w:hAnsi="华文仿宋" w:eastAsia="华文仿宋"/>
          <w:color w:val="auto"/>
          <w:lang w:val="en-US" w:eastAsia="zh-CN"/>
        </w:rPr>
        <w:t>20</w:t>
      </w:r>
      <w:r>
        <w:rPr>
          <w:rFonts w:hint="eastAsia" w:ascii="华文仿宋" w:hAnsi="华文仿宋" w:eastAsia="华文仿宋"/>
          <w:color w:val="auto"/>
        </w:rPr>
        <w:t>位。该校学科范围广，提供超过130个从学士到博士的各层次学位课程，在校学生总数超过20000名。</w:t>
      </w: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</w:p>
    <w:p>
      <w:pPr>
        <w:pStyle w:val="12"/>
        <w:numPr>
          <w:numId w:val="0"/>
        </w:numPr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一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合作专业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哲学、</w:t>
      </w:r>
      <w:r>
        <w:rPr>
          <w:rFonts w:ascii="华文仿宋" w:hAnsi="华文仿宋" w:eastAsia="华文仿宋"/>
          <w:color w:val="auto"/>
        </w:rPr>
        <w:t>理论经济学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应用经济学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政治学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社会学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hint="eastAsia" w:ascii="华文仿宋" w:hAnsi="华文仿宋" w:eastAsia="华文仿宋"/>
          <w:color w:val="auto"/>
          <w:lang w:val="en-US" w:eastAsia="zh-CN"/>
        </w:rPr>
        <w:t>马克思主义理论、</w:t>
      </w:r>
      <w:r>
        <w:rPr>
          <w:rFonts w:ascii="华文仿宋" w:hAnsi="华文仿宋" w:eastAsia="华文仿宋"/>
          <w:color w:val="auto"/>
        </w:rPr>
        <w:t>中国语言文学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考古学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中国史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世界史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数学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物理学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化学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生物学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统计学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光学工程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环境科学与工程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hint="eastAsia" w:ascii="华文仿宋" w:hAnsi="华文仿宋" w:eastAsia="华文仿宋"/>
          <w:color w:val="auto"/>
          <w:lang w:val="en-US" w:eastAsia="zh-CN"/>
        </w:rPr>
        <w:t>植物保护、</w:t>
      </w:r>
      <w:r>
        <w:rPr>
          <w:rFonts w:ascii="华文仿宋" w:hAnsi="华文仿宋" w:eastAsia="华文仿宋"/>
          <w:color w:val="auto"/>
        </w:rPr>
        <w:t>工商管理</w:t>
      </w:r>
      <w:r>
        <w:rPr>
          <w:rFonts w:hint="eastAsia" w:ascii="华文仿宋" w:hAnsi="华文仿宋" w:eastAsia="华文仿宋"/>
          <w:color w:val="auto"/>
        </w:rPr>
        <w:t>、</w:t>
      </w:r>
      <w:r>
        <w:rPr>
          <w:rFonts w:ascii="华文仿宋" w:hAnsi="华文仿宋" w:eastAsia="华文仿宋"/>
          <w:color w:val="auto"/>
        </w:rPr>
        <w:t>图书情报与档案管理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</w:p>
    <w:p>
      <w:pPr>
        <w:pStyle w:val="12"/>
        <w:numPr>
          <w:numId w:val="0"/>
        </w:numPr>
        <w:spacing w:after="149"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bCs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bCs/>
          <w:color w:val="auto"/>
          <w:lang w:val="en-US" w:eastAsia="zh-CN"/>
        </w:rPr>
        <w:t>二</w:t>
      </w:r>
      <w:r>
        <w:rPr>
          <w:rFonts w:hint="eastAsia" w:ascii="华文仿宋" w:hAnsi="华文仿宋" w:eastAsia="华文仿宋"/>
          <w:bCs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bCs/>
          <w:color w:val="auto"/>
        </w:rPr>
        <w:t>学制安排</w:t>
      </w:r>
    </w:p>
    <w:p>
      <w:pPr>
        <w:pStyle w:val="12"/>
        <w:spacing w:after="149"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我校如上专业招收的全日制非定向博士研究生。</w:t>
      </w:r>
      <w:r>
        <w:rPr>
          <w:rFonts w:ascii="华文仿宋" w:hAnsi="华文仿宋" w:eastAsia="华文仿宋"/>
          <w:color w:val="auto"/>
        </w:rPr>
        <w:t>原则上学生</w:t>
      </w:r>
      <w:r>
        <w:rPr>
          <w:rFonts w:hint="eastAsia" w:ascii="华文仿宋" w:hAnsi="华文仿宋" w:eastAsia="华文仿宋"/>
          <w:color w:val="auto"/>
        </w:rPr>
        <w:t>先在</w:t>
      </w:r>
      <w:r>
        <w:rPr>
          <w:rFonts w:ascii="华文仿宋" w:hAnsi="华文仿宋" w:eastAsia="华文仿宋"/>
          <w:color w:val="auto"/>
        </w:rPr>
        <w:t>南开修读并完成公共必修课和学科基础课程，</w:t>
      </w:r>
      <w:r>
        <w:rPr>
          <w:rFonts w:hint="eastAsia" w:ascii="华文仿宋" w:hAnsi="华文仿宋" w:eastAsia="华文仿宋"/>
          <w:color w:val="auto"/>
        </w:rPr>
        <w:t>进入项目后</w:t>
      </w:r>
      <w:r>
        <w:rPr>
          <w:rFonts w:ascii="华文仿宋" w:hAnsi="华文仿宋" w:eastAsia="华文仿宋"/>
          <w:color w:val="auto"/>
        </w:rPr>
        <w:t>按以下学习模式分别在南开、城大及城大深圳研究院三地，修读部分专业课及完成学位论文。</w:t>
      </w:r>
      <w:r>
        <w:rPr>
          <w:rFonts w:hint="eastAsia" w:ascii="华文仿宋" w:hAnsi="华文仿宋" w:eastAsia="华文仿宋"/>
          <w:color w:val="auto"/>
        </w:rPr>
        <w:t>具体学制安排如下：</w:t>
      </w:r>
    </w:p>
    <w:p>
      <w:pPr>
        <w:spacing w:line="460" w:lineRule="exact"/>
        <w:ind w:firstLine="2400" w:firstLineChars="1000"/>
        <w:rPr>
          <w:rFonts w:ascii="华文仿宋" w:hAnsi="华文仿宋" w:eastAsia="华文仿宋"/>
          <w:color w:val="000000"/>
          <w:sz w:val="24"/>
          <w:u w:val="single"/>
        </w:rPr>
      </w:pPr>
      <w:r>
        <w:rPr>
          <w:rFonts w:hint="eastAsia" w:ascii="华文仿宋" w:hAnsi="华文仿宋" w:eastAsia="华文仿宋"/>
          <w:sz w:val="24"/>
          <w:u w:val="single"/>
        </w:rPr>
        <w:t>硕博连读生及普通博士研究生</w:t>
      </w:r>
    </w:p>
    <w:tbl>
      <w:tblPr>
        <w:tblStyle w:val="6"/>
        <w:tblW w:w="0" w:type="auto"/>
        <w:tblInd w:w="12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4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学年</w:t>
            </w:r>
          </w:p>
        </w:tc>
        <w:tc>
          <w:tcPr>
            <w:tcW w:w="4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学习地点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第一学年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南开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i/>
                <w:sz w:val="24"/>
              </w:rPr>
            </w:pPr>
            <w:r>
              <w:rPr>
                <w:rFonts w:hint="eastAsia" w:ascii="华文仿宋" w:hAnsi="华文仿宋" w:eastAsia="华文仿宋"/>
                <w:i/>
                <w:sz w:val="24"/>
              </w:rPr>
              <w:t>进入联合培养博士研究生项目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第二学年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城大（香港本部）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第三学年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城大深圳研究院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第四学年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南开</w:t>
            </w:r>
          </w:p>
        </w:tc>
      </w:tr>
    </w:tbl>
    <w:p>
      <w:pPr>
        <w:spacing w:line="460" w:lineRule="exact"/>
        <w:ind w:left="360"/>
        <w:jc w:val="center"/>
        <w:rPr>
          <w:rFonts w:ascii="华文仿宋" w:hAnsi="华文仿宋" w:eastAsia="华文仿宋"/>
          <w:sz w:val="24"/>
        </w:rPr>
      </w:pPr>
    </w:p>
    <w:p>
      <w:pPr>
        <w:spacing w:line="460" w:lineRule="exact"/>
        <w:ind w:left="360"/>
        <w:jc w:val="center"/>
        <w:rPr>
          <w:rFonts w:ascii="华文仿宋" w:hAnsi="华文仿宋" w:eastAsia="华文仿宋"/>
          <w:sz w:val="24"/>
        </w:rPr>
      </w:pPr>
    </w:p>
    <w:p>
      <w:pPr>
        <w:spacing w:line="460" w:lineRule="exact"/>
        <w:ind w:firstLine="3600" w:firstLineChars="1500"/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  <w:u w:val="single"/>
        </w:rPr>
        <w:t>直博生</w:t>
      </w:r>
    </w:p>
    <w:tbl>
      <w:tblPr>
        <w:tblStyle w:val="6"/>
        <w:tblW w:w="0" w:type="auto"/>
        <w:tblInd w:w="116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4135"/>
      </w:tblGrid>
      <w:t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学年</w:t>
            </w:r>
          </w:p>
        </w:tc>
        <w:tc>
          <w:tcPr>
            <w:tcW w:w="4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学习地点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第一学年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南开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i/>
                <w:sz w:val="24"/>
              </w:rPr>
            </w:pPr>
            <w:r>
              <w:rPr>
                <w:rFonts w:hint="eastAsia" w:ascii="华文仿宋" w:hAnsi="华文仿宋" w:eastAsia="华文仿宋"/>
                <w:i/>
                <w:sz w:val="24"/>
              </w:rPr>
              <w:t>进入联合培养博士研究生项目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第二学年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南开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第三学年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城大（香港本部）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第四学年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城大深圳研究院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第五学年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175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南开</w:t>
            </w:r>
          </w:p>
        </w:tc>
      </w:tr>
    </w:tbl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三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名额：15 人/年</w:t>
      </w:r>
    </w:p>
    <w:p>
      <w:pPr>
        <w:pStyle w:val="12"/>
        <w:spacing w:line="0" w:lineRule="atLeast"/>
        <w:ind w:firstLine="240" w:firstLineChars="100"/>
        <w:rPr>
          <w:rFonts w:ascii="华文仿宋" w:hAnsi="华文仿宋" w:eastAsia="华文仿宋"/>
          <w:color w:val="auto"/>
        </w:rPr>
      </w:pP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二、申请资格及程序</w:t>
      </w:r>
    </w:p>
    <w:p>
      <w:pPr>
        <w:pStyle w:val="12"/>
        <w:spacing w:line="0" w:lineRule="atLeast"/>
        <w:rPr>
          <w:rFonts w:hint="eastAsia" w:ascii="华文仿宋" w:hAnsi="华文仿宋" w:eastAsia="华文仿宋"/>
          <w:color w:val="auto"/>
          <w:lang w:eastAsia="zh-CN"/>
        </w:rPr>
      </w:pP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一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申请资格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 xml:space="preserve">1. </w:t>
      </w:r>
      <w:r>
        <w:rPr>
          <w:rFonts w:hint="eastAsia" w:ascii="华文仿宋" w:hAnsi="华文仿宋" w:eastAsia="华文仿宋"/>
          <w:color w:val="auto"/>
        </w:rPr>
        <w:t>我校如上相关专业202</w:t>
      </w:r>
      <w:r>
        <w:rPr>
          <w:rFonts w:hint="eastAsia" w:ascii="华文仿宋" w:hAnsi="华文仿宋" w:eastAsia="华文仿宋"/>
          <w:color w:val="auto"/>
          <w:lang w:val="en-US" w:eastAsia="zh-CN"/>
        </w:rPr>
        <w:t>2</w:t>
      </w:r>
      <w:r>
        <w:rPr>
          <w:rFonts w:hint="eastAsia" w:ascii="华文仿宋" w:hAnsi="华文仿宋" w:eastAsia="华文仿宋"/>
          <w:color w:val="auto"/>
        </w:rPr>
        <w:t>级全日制非定向博士研究生（包括已取得如上相关专业我校202</w:t>
      </w:r>
      <w:r>
        <w:rPr>
          <w:rFonts w:hint="eastAsia" w:ascii="华文仿宋" w:hAnsi="华文仿宋" w:eastAsia="华文仿宋"/>
          <w:color w:val="auto"/>
          <w:lang w:val="en-US" w:eastAsia="zh-CN"/>
        </w:rPr>
        <w:t>3</w:t>
      </w:r>
      <w:r>
        <w:rPr>
          <w:rFonts w:hint="eastAsia" w:ascii="华文仿宋" w:hAnsi="华文仿宋" w:eastAsia="华文仿宋"/>
          <w:color w:val="auto"/>
        </w:rPr>
        <w:t>级硕博连读或直接攻读博士学位资格的学生）；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 xml:space="preserve">2. </w:t>
      </w:r>
      <w:r>
        <w:rPr>
          <w:rFonts w:hint="eastAsia" w:ascii="华文仿宋" w:hAnsi="华文仿宋" w:eastAsia="华文仿宋"/>
          <w:color w:val="auto"/>
        </w:rPr>
        <w:t>已修课程成绩优秀；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 xml:space="preserve">3. </w:t>
      </w:r>
      <w:r>
        <w:rPr>
          <w:rFonts w:hint="eastAsia" w:ascii="华文仿宋" w:hAnsi="华文仿宋" w:eastAsia="华文仿宋"/>
          <w:color w:val="auto"/>
        </w:rPr>
        <w:t>城大规定的最低语言成绩要求：取得托福考试（TOEFL）550分（即托福网考79分</w:t>
      </w:r>
      <w:r>
        <w:rPr>
          <w:rFonts w:hint="eastAsia" w:ascii="华文仿宋" w:hAnsi="华文仿宋" w:eastAsia="华文仿宋"/>
          <w:color w:val="auto"/>
          <w:lang w:val="en-US" w:eastAsia="zh-CN"/>
        </w:rPr>
        <w:t>或新版笔试59分及以上</w:t>
      </w:r>
      <w:r>
        <w:rPr>
          <w:rFonts w:hint="eastAsia" w:ascii="华文仿宋" w:hAnsi="华文仿宋" w:eastAsia="华文仿宋"/>
          <w:color w:val="auto"/>
        </w:rPr>
        <w:t>），或雅思考试（IELTS）总分6.5。</w:t>
      </w:r>
      <w:r>
        <w:rPr>
          <w:rFonts w:hint="eastAsia" w:ascii="华文仿宋" w:hAnsi="华文仿宋" w:eastAsia="华文仿宋"/>
          <w:color w:val="auto"/>
          <w:u w:val="single"/>
        </w:rPr>
        <w:t>个别城大院系可订立更高要求。</w:t>
      </w:r>
      <w:r>
        <w:rPr>
          <w:rFonts w:hint="eastAsia" w:ascii="华文仿宋" w:hAnsi="华文仿宋" w:eastAsia="华文仿宋"/>
          <w:color w:val="auto"/>
        </w:rPr>
        <w:t>详情请参阅</w:t>
      </w:r>
      <w:r>
        <w:fldChar w:fldCharType="begin"/>
      </w:r>
      <w:r>
        <w:instrText xml:space="preserve"> HYPERLINK "https://www.cityu.edu.hk/pg/research-degree-programmes/entrance-requirements" </w:instrText>
      </w:r>
      <w:r>
        <w:fldChar w:fldCharType="separate"/>
      </w:r>
      <w:r>
        <w:rPr>
          <w:rFonts w:ascii="华文仿宋" w:hAnsi="华文仿宋" w:eastAsia="华文仿宋"/>
          <w:color w:val="auto"/>
        </w:rPr>
        <w:t>https://www.cityu.edu.hk/pg/research-degree-programmes/entrance-requirements</w:t>
      </w:r>
      <w:r>
        <w:rPr>
          <w:rFonts w:ascii="华文仿宋" w:hAnsi="华文仿宋" w:eastAsia="华文仿宋"/>
          <w:color w:val="auto"/>
        </w:rPr>
        <w:fldChar w:fldCharType="end"/>
      </w:r>
      <w:r>
        <w:rPr>
          <w:rFonts w:hint="eastAsia" w:ascii="华文仿宋" w:hAnsi="华文仿宋" w:eastAsia="华文仿宋"/>
          <w:color w:val="auto"/>
        </w:rPr>
        <w:t xml:space="preserve"> 之</w:t>
      </w:r>
      <w:r>
        <w:rPr>
          <w:rFonts w:ascii="华文仿宋" w:hAnsi="华文仿宋" w:eastAsia="华文仿宋"/>
          <w:color w:val="auto"/>
        </w:rPr>
        <w:t xml:space="preserve"> “English Proficiency Requirement” </w:t>
      </w:r>
      <w:r>
        <w:rPr>
          <w:rFonts w:hint="eastAsia" w:ascii="华文仿宋" w:hAnsi="华文仿宋" w:eastAsia="华文仿宋"/>
          <w:color w:val="auto"/>
        </w:rPr>
        <w:t>部分。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</w:p>
    <w:p>
      <w:pPr>
        <w:pStyle w:val="12"/>
        <w:numPr>
          <w:numId w:val="0"/>
        </w:numPr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二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申请程序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 xml:space="preserve">1. </w:t>
      </w:r>
      <w:r>
        <w:rPr>
          <w:rFonts w:hint="eastAsia" w:ascii="华文仿宋" w:hAnsi="华文仿宋" w:eastAsia="华文仿宋"/>
          <w:color w:val="auto"/>
        </w:rPr>
        <w:t>请符合申请资格的学生</w:t>
      </w:r>
      <w:r>
        <w:rPr>
          <w:rFonts w:hint="eastAsia" w:ascii="华文仿宋" w:hAnsi="华文仿宋" w:eastAsia="华文仿宋"/>
          <w:color w:val="auto"/>
          <w:lang w:val="en-US" w:eastAsia="zh-CN"/>
        </w:rPr>
        <w:t>将以下材料</w:t>
      </w:r>
      <w:r>
        <w:rPr>
          <w:rFonts w:hint="eastAsia" w:ascii="华文仿宋" w:hAnsi="华文仿宋" w:eastAsia="华文仿宋"/>
          <w:color w:val="auto"/>
        </w:rPr>
        <w:t>交至学生所在学院。由学院汇总后，于</w:t>
      </w:r>
      <w:r>
        <w:rPr>
          <w:rFonts w:hint="eastAsia" w:ascii="华文仿宋" w:hAnsi="华文仿宋" w:eastAsia="华文仿宋"/>
          <w:b/>
          <w:color w:val="auto"/>
          <w:u w:val="single"/>
        </w:rPr>
        <w:t>202</w:t>
      </w:r>
      <w:r>
        <w:rPr>
          <w:rFonts w:hint="eastAsia" w:ascii="华文仿宋" w:hAnsi="华文仿宋" w:eastAsia="华文仿宋"/>
          <w:b/>
          <w:color w:val="auto"/>
          <w:u w:val="single"/>
          <w:lang w:val="en-US" w:eastAsia="zh-CN"/>
        </w:rPr>
        <w:t>2</w:t>
      </w:r>
      <w:r>
        <w:rPr>
          <w:rFonts w:hint="eastAsia" w:ascii="华文仿宋" w:hAnsi="华文仿宋" w:eastAsia="华文仿宋"/>
          <w:b/>
          <w:color w:val="auto"/>
          <w:u w:val="single"/>
        </w:rPr>
        <w:t>年12月</w:t>
      </w:r>
      <w:r>
        <w:rPr>
          <w:rFonts w:hint="eastAsia" w:ascii="华文仿宋" w:hAnsi="华文仿宋" w:eastAsia="华文仿宋"/>
          <w:b/>
          <w:color w:val="auto"/>
          <w:u w:val="single"/>
          <w:lang w:val="en-US" w:eastAsia="zh-CN"/>
        </w:rPr>
        <w:t>9</w:t>
      </w:r>
      <w:r>
        <w:rPr>
          <w:rFonts w:hint="eastAsia" w:ascii="华文仿宋" w:hAnsi="华文仿宋" w:eastAsia="华文仿宋"/>
          <w:b/>
          <w:color w:val="auto"/>
          <w:u w:val="single"/>
        </w:rPr>
        <w:t>日前</w:t>
      </w:r>
      <w:r>
        <w:rPr>
          <w:rFonts w:hint="eastAsia" w:ascii="华文仿宋" w:hAnsi="华文仿宋" w:eastAsia="华文仿宋"/>
          <w:b w:val="0"/>
          <w:bCs/>
          <w:color w:val="auto"/>
        </w:rPr>
        <w:t>上报</w:t>
      </w:r>
      <w:r>
        <w:rPr>
          <w:rFonts w:hint="eastAsia" w:ascii="华文仿宋" w:hAnsi="华文仿宋" w:eastAsia="华文仿宋"/>
          <w:color w:val="auto"/>
        </w:rPr>
        <w:t>研究生院。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  <w:lang w:eastAsia="zh-CN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（1）附件一</w:t>
      </w:r>
      <w:r>
        <w:rPr>
          <w:rFonts w:hint="eastAsia" w:ascii="华文仿宋" w:hAnsi="华文仿宋" w:eastAsia="华文仿宋"/>
          <w:color w:val="auto"/>
        </w:rPr>
        <w:t>《申请表》</w:t>
      </w: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b/>
          <w:bCs/>
          <w:color w:val="auto"/>
          <w:lang w:val="en-US" w:eastAsia="zh-CN"/>
        </w:rPr>
        <w:t>英文填写</w:t>
      </w:r>
      <w:r>
        <w:rPr>
          <w:rFonts w:hint="eastAsia" w:ascii="华文仿宋" w:hAnsi="华文仿宋" w:eastAsia="华文仿宋"/>
          <w:color w:val="auto"/>
          <w:lang w:eastAsia="zh-CN"/>
        </w:rPr>
        <w:t>）；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  <w:lang w:eastAsia="zh-CN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（2）附件二</w:t>
      </w:r>
      <w:r>
        <w:rPr>
          <w:rFonts w:hint="eastAsia" w:ascii="华文仿宋" w:hAnsi="华文仿宋" w:eastAsia="华文仿宋"/>
          <w:color w:val="auto"/>
        </w:rPr>
        <w:t>《推荐人报告表格》</w:t>
      </w: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</w:rPr>
        <w:t>用信封封存</w:t>
      </w:r>
      <w:r>
        <w:rPr>
          <w:rFonts w:hint="eastAsia" w:ascii="华文仿宋" w:hAnsi="华文仿宋" w:eastAsia="华文仿宋"/>
          <w:color w:val="auto"/>
          <w:lang w:eastAsia="zh-CN"/>
        </w:rPr>
        <w:t>）；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  <w:lang w:eastAsia="zh-CN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3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  <w:lang w:val="en-US" w:eastAsia="zh-CN"/>
        </w:rPr>
        <w:t>附件三</w:t>
      </w:r>
      <w:r>
        <w:rPr>
          <w:rFonts w:hint="eastAsia" w:ascii="华文仿宋" w:hAnsi="华文仿宋" w:eastAsia="华文仿宋"/>
          <w:color w:val="auto"/>
        </w:rPr>
        <w:t>《联合培养博士研究生同意书》</w:t>
      </w:r>
      <w:r>
        <w:rPr>
          <w:rFonts w:hint="eastAsia" w:ascii="华文仿宋" w:hAnsi="华文仿宋" w:eastAsia="华文仿宋"/>
          <w:color w:val="auto"/>
          <w:lang w:eastAsia="zh-CN"/>
        </w:rPr>
        <w:t>；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  <w:lang w:val="en-US" w:eastAsia="zh-CN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4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  <w:lang w:val="en-US" w:eastAsia="zh-CN"/>
        </w:rPr>
        <w:t>附件四《</w:t>
      </w:r>
      <w:r>
        <w:rPr>
          <w:rFonts w:hint="eastAsia" w:ascii="华文仿宋" w:hAnsi="华文仿宋" w:eastAsia="华文仿宋"/>
          <w:color w:val="auto"/>
        </w:rPr>
        <w:t>申请人名单》（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学院提交</w:t>
      </w:r>
      <w:r>
        <w:rPr>
          <w:rFonts w:hint="eastAsia" w:ascii="华文仿宋" w:hAnsi="华文仿宋" w:eastAsia="华文仿宋"/>
          <w:color w:val="auto"/>
        </w:rPr>
        <w:t>电子版）</w:t>
      </w:r>
      <w:r>
        <w:rPr>
          <w:rFonts w:hint="eastAsia" w:ascii="华文仿宋" w:hAnsi="华文仿宋" w:eastAsia="华文仿宋"/>
          <w:color w:val="auto"/>
          <w:lang w:eastAsia="zh-CN"/>
        </w:rPr>
        <w:t>；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  <w:lang w:val="en-US" w:eastAsia="zh-CN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（5）南开导师英文版个人简历。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2. 以下材料</w:t>
      </w:r>
      <w:r>
        <w:rPr>
          <w:rFonts w:hint="eastAsia" w:ascii="华文仿宋" w:hAnsi="华文仿宋" w:eastAsia="华文仿宋"/>
          <w:b/>
          <w:bCs/>
          <w:color w:val="auto"/>
          <w:lang w:val="en-US" w:eastAsia="zh-CN"/>
        </w:rPr>
        <w:t>复印件</w:t>
      </w:r>
      <w:r>
        <w:rPr>
          <w:rFonts w:hint="eastAsia" w:ascii="华文仿宋" w:hAnsi="华文仿宋" w:eastAsia="华文仿宋"/>
          <w:color w:val="auto"/>
          <w:lang w:val="en-US" w:eastAsia="zh-CN"/>
        </w:rPr>
        <w:t>可与上述材料同时提交，或于</w:t>
      </w:r>
      <w:r>
        <w:rPr>
          <w:rFonts w:hint="eastAsia" w:ascii="华文仿宋" w:hAnsi="华文仿宋" w:eastAsia="华文仿宋"/>
          <w:b/>
          <w:bCs/>
          <w:color w:val="auto"/>
          <w:u w:val="single"/>
          <w:lang w:val="en-US" w:eastAsia="zh-CN"/>
        </w:rPr>
        <w:t>2023年2月8日前通过系统完成上传</w:t>
      </w:r>
      <w:r>
        <w:rPr>
          <w:rFonts w:hint="eastAsia" w:ascii="华文仿宋" w:hAnsi="华文仿宋" w:eastAsia="华文仿宋"/>
          <w:b/>
          <w:bCs/>
          <w:color w:val="auto"/>
          <w:lang w:val="en-US" w:eastAsia="zh-CN"/>
        </w:rPr>
        <w:t>，</w:t>
      </w:r>
      <w:r>
        <w:rPr>
          <w:rFonts w:hint="eastAsia" w:ascii="华文仿宋" w:hAnsi="华文仿宋" w:eastAsia="华文仿宋"/>
          <w:color w:val="auto"/>
        </w:rPr>
        <w:t>包括：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1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本科及硕士</w:t>
      </w:r>
      <w:r>
        <w:rPr>
          <w:rFonts w:ascii="华文仿宋" w:hAnsi="华文仿宋" w:eastAsia="华文仿宋"/>
          <w:color w:val="auto"/>
        </w:rPr>
        <w:t xml:space="preserve"> (</w:t>
      </w:r>
      <w:r>
        <w:rPr>
          <w:rFonts w:hint="eastAsia" w:ascii="华文仿宋" w:hAnsi="华文仿宋" w:eastAsia="华文仿宋"/>
          <w:color w:val="auto"/>
        </w:rPr>
        <w:t>如适用</w:t>
      </w:r>
      <w:r>
        <w:rPr>
          <w:rFonts w:ascii="华文仿宋" w:hAnsi="华文仿宋" w:eastAsia="华文仿宋"/>
          <w:color w:val="auto"/>
        </w:rPr>
        <w:t xml:space="preserve">) </w:t>
      </w:r>
      <w:r>
        <w:rPr>
          <w:rFonts w:hint="eastAsia" w:ascii="华文仿宋" w:hAnsi="华文仿宋" w:eastAsia="华文仿宋"/>
          <w:color w:val="auto"/>
        </w:rPr>
        <w:t>学位证、毕业证（中英文件）；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2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本科及硕士（如适用）成绩单</w:t>
      </w:r>
      <w:r>
        <w:rPr>
          <w:rFonts w:ascii="华文仿宋" w:hAnsi="华文仿宋" w:eastAsia="华文仿宋"/>
          <w:color w:val="auto"/>
        </w:rPr>
        <w:t xml:space="preserve"> (</w:t>
      </w:r>
      <w:r>
        <w:rPr>
          <w:rFonts w:hint="eastAsia" w:ascii="华文仿宋" w:hAnsi="华文仿宋" w:eastAsia="华文仿宋"/>
          <w:color w:val="auto"/>
        </w:rPr>
        <w:t>中英文件)；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3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专业资格相关证书</w:t>
      </w:r>
      <w:r>
        <w:rPr>
          <w:rFonts w:ascii="华文仿宋" w:hAnsi="华文仿宋" w:eastAsia="华文仿宋"/>
          <w:color w:val="auto"/>
        </w:rPr>
        <w:t xml:space="preserve">;   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4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已发表论文的首页或已接受发表论文的录取通知书</w:t>
      </w:r>
      <w:r>
        <w:rPr>
          <w:rFonts w:ascii="华文仿宋" w:hAnsi="华文仿宋" w:eastAsia="华文仿宋"/>
          <w:color w:val="auto"/>
        </w:rPr>
        <w:t xml:space="preserve">;  </w:t>
      </w:r>
    </w:p>
    <w:p>
      <w:pPr>
        <w:pStyle w:val="12"/>
        <w:numPr>
          <w:numId w:val="0"/>
        </w:numPr>
        <w:spacing w:line="0" w:lineRule="atLeast"/>
        <w:ind w:firstLine="420" w:firstLineChars="0"/>
        <w:rPr>
          <w:rFonts w:hint="eastAsia" w:ascii="华文仿宋" w:hAnsi="华文仿宋" w:eastAsia="华文仿宋"/>
          <w:color w:val="auto"/>
          <w:lang w:eastAsia="zh-CN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5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语言考试成绩单（托福或雅思，成绩必须在提交申请时有效</w:t>
      </w:r>
      <w:r>
        <w:rPr>
          <w:rFonts w:ascii="华文仿宋" w:hAnsi="华文仿宋" w:eastAsia="华文仿宋"/>
          <w:color w:val="auto"/>
        </w:rPr>
        <w:t>）</w:t>
      </w:r>
      <w:r>
        <w:rPr>
          <w:rFonts w:hint="eastAsia" w:ascii="华文仿宋" w:hAnsi="华文仿宋" w:eastAsia="华文仿宋"/>
          <w:color w:val="auto"/>
          <w:lang w:eastAsia="zh-CN"/>
        </w:rPr>
        <w:t>。</w:t>
      </w:r>
    </w:p>
    <w:p>
      <w:pPr>
        <w:pStyle w:val="12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招生申请须经南开和城大导师、相关院系及研究团队负责人审核，并由南开交至香港城市大学周亦卿研究生院。两校将对申请人的材料进行审核并择优遴选。若有需要，亦会安排学生面试。录取结果将于</w:t>
      </w:r>
      <w:r>
        <w:rPr>
          <w:rFonts w:hint="eastAsia" w:ascii="华文仿宋" w:hAnsi="华文仿宋" w:eastAsia="华文仿宋"/>
          <w:b/>
          <w:color w:val="auto"/>
          <w:u w:val="single"/>
        </w:rPr>
        <w:t>202</w:t>
      </w:r>
      <w:r>
        <w:rPr>
          <w:rFonts w:hint="eastAsia" w:ascii="华文仿宋" w:hAnsi="华文仿宋" w:eastAsia="华文仿宋"/>
          <w:b/>
          <w:color w:val="auto"/>
          <w:u w:val="single"/>
          <w:lang w:val="en-US" w:eastAsia="zh-CN"/>
        </w:rPr>
        <w:t>3</w:t>
      </w:r>
      <w:r>
        <w:rPr>
          <w:rFonts w:hint="eastAsia" w:ascii="华文仿宋" w:hAnsi="华文仿宋" w:eastAsia="华文仿宋"/>
          <w:b/>
          <w:color w:val="auto"/>
          <w:u w:val="single"/>
        </w:rPr>
        <w:t>年</w:t>
      </w:r>
      <w:r>
        <w:rPr>
          <w:rFonts w:hint="eastAsia" w:ascii="华文仿宋" w:hAnsi="华文仿宋" w:eastAsia="华文仿宋"/>
          <w:b/>
          <w:color w:val="auto"/>
          <w:u w:val="single"/>
          <w:lang w:val="en-US" w:eastAsia="zh-CN"/>
        </w:rPr>
        <w:t>4</w:t>
      </w:r>
      <w:r>
        <w:rPr>
          <w:rFonts w:hint="eastAsia" w:ascii="华文仿宋" w:hAnsi="华文仿宋" w:eastAsia="华文仿宋"/>
          <w:b/>
          <w:color w:val="auto"/>
          <w:u w:val="single"/>
        </w:rPr>
        <w:t>月</w:t>
      </w:r>
      <w:r>
        <w:rPr>
          <w:rFonts w:hint="eastAsia" w:ascii="华文仿宋" w:hAnsi="华文仿宋" w:eastAsia="华文仿宋"/>
          <w:color w:val="auto"/>
        </w:rPr>
        <w:t>通知申请者。</w:t>
      </w: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</w:p>
    <w:p>
      <w:pPr>
        <w:pStyle w:val="12"/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三、</w:t>
      </w:r>
      <w:r>
        <w:rPr>
          <w:rFonts w:hint="eastAsia" w:ascii="华文仿宋" w:hAnsi="华文仿宋" w:eastAsia="华文仿宋"/>
          <w:color w:val="auto"/>
          <w:lang w:val="en-US" w:eastAsia="zh-CN"/>
        </w:rPr>
        <w:t>项目要求及</w:t>
      </w:r>
      <w:r>
        <w:rPr>
          <w:rFonts w:hint="eastAsia" w:ascii="华文仿宋" w:hAnsi="华文仿宋" w:eastAsia="华文仿宋"/>
          <w:color w:val="auto"/>
        </w:rPr>
        <w:t>学位授予</w:t>
      </w:r>
    </w:p>
    <w:p>
      <w:pPr>
        <w:pStyle w:val="12"/>
        <w:spacing w:line="0" w:lineRule="atLeast"/>
        <w:rPr>
          <w:rFonts w:hint="eastAsia" w:ascii="华文仿宋" w:hAnsi="华文仿宋" w:eastAsia="华文仿宋"/>
          <w:color w:val="auto"/>
          <w:lang w:val="en-US" w:eastAsia="zh-CN"/>
        </w:rPr>
      </w:pPr>
    </w:p>
    <w:p>
      <w:pPr>
        <w:pStyle w:val="12"/>
        <w:spacing w:line="0" w:lineRule="atLeast"/>
        <w:rPr>
          <w:rFonts w:hint="eastAsia" w:ascii="华文仿宋" w:hAnsi="华文仿宋" w:eastAsia="华文仿宋"/>
          <w:color w:val="auto"/>
          <w:lang w:val="en-US" w:eastAsia="zh-CN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（一）资格考试</w:t>
      </w:r>
    </w:p>
    <w:p>
      <w:pPr>
        <w:pStyle w:val="12"/>
        <w:spacing w:line="0" w:lineRule="atLeast"/>
        <w:ind w:firstLine="420" w:firstLineChars="0"/>
        <w:rPr>
          <w:rFonts w:hint="default" w:ascii="华文仿宋" w:hAnsi="华文仿宋" w:eastAsia="华文仿宋"/>
          <w:color w:val="auto"/>
          <w:lang w:val="en-US" w:eastAsia="zh-CN"/>
        </w:rPr>
      </w:pPr>
      <w:r>
        <w:rPr>
          <w:rFonts w:hint="default" w:ascii="华文仿宋" w:hAnsi="华文仿宋" w:eastAsia="华文仿宋"/>
          <w:color w:val="auto"/>
          <w:lang w:val="en-US" w:eastAsia="zh-CN"/>
        </w:rPr>
        <w:t>学生进入联培项目后，必须按城大要求在规定时间内参加并通过城大的博士生资格考试(Qualifying Examination)。此为城大其中一项毕业要求，未能通过的学生将被要求退出该项目。</w:t>
      </w:r>
    </w:p>
    <w:p>
      <w:pPr>
        <w:pStyle w:val="12"/>
        <w:spacing w:line="0" w:lineRule="atLeast"/>
        <w:ind w:firstLine="420" w:firstLineChars="0"/>
        <w:rPr>
          <w:rFonts w:hint="default" w:ascii="华文仿宋" w:hAnsi="华文仿宋" w:eastAsia="华文仿宋"/>
          <w:color w:val="auto"/>
          <w:lang w:val="en-US" w:eastAsia="zh-CN"/>
        </w:rPr>
      </w:pPr>
    </w:p>
    <w:p>
      <w:pPr>
        <w:pStyle w:val="12"/>
        <w:spacing w:line="0" w:lineRule="atLeast"/>
        <w:rPr>
          <w:rFonts w:hint="eastAsia" w:ascii="华文仿宋" w:hAnsi="华文仿宋" w:eastAsia="华文仿宋"/>
          <w:color w:val="auto"/>
          <w:lang w:val="en-US" w:eastAsia="zh-CN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（二）课程平均绩点要求</w:t>
      </w:r>
    </w:p>
    <w:p>
      <w:pPr>
        <w:pStyle w:val="12"/>
        <w:spacing w:line="0" w:lineRule="atLeast"/>
        <w:ind w:firstLine="420" w:firstLineChars="0"/>
        <w:rPr>
          <w:rFonts w:hint="default" w:ascii="华文仿宋" w:hAnsi="华文仿宋" w:eastAsia="华文仿宋"/>
          <w:color w:val="auto"/>
          <w:lang w:val="en-US" w:eastAsia="zh-CN"/>
        </w:rPr>
      </w:pPr>
      <w:r>
        <w:rPr>
          <w:rFonts w:hint="default" w:ascii="华文仿宋" w:hAnsi="华文仿宋" w:eastAsia="华文仿宋"/>
          <w:color w:val="auto"/>
          <w:lang w:val="en-US" w:eastAsia="zh-CN"/>
        </w:rPr>
        <w:t>学生必须满足所修课程累计平均绩点(CGPA)最低达</w:t>
      </w:r>
      <w:r>
        <w:rPr>
          <w:rFonts w:hint="eastAsia" w:ascii="华文仿宋" w:hAnsi="华文仿宋" w:eastAsia="华文仿宋"/>
          <w:color w:val="auto"/>
          <w:lang w:val="en-US" w:eastAsia="zh-CN"/>
        </w:rPr>
        <w:t>到</w:t>
      </w:r>
      <w:r>
        <w:rPr>
          <w:rFonts w:hint="default" w:ascii="华文仿宋" w:hAnsi="华文仿宋" w:eastAsia="华文仿宋"/>
          <w:color w:val="auto"/>
          <w:lang w:val="en-US" w:eastAsia="zh-CN"/>
        </w:rPr>
        <w:t>3.0的毕业要求。</w:t>
      </w:r>
    </w:p>
    <w:p>
      <w:pPr>
        <w:pStyle w:val="12"/>
        <w:spacing w:line="0" w:lineRule="atLeast"/>
        <w:rPr>
          <w:rFonts w:hint="eastAsia" w:ascii="华文仿宋" w:hAnsi="华文仿宋" w:eastAsia="华文仿宋"/>
          <w:color w:val="auto"/>
          <w:lang w:val="en-US" w:eastAsia="zh-CN"/>
        </w:rPr>
      </w:pPr>
    </w:p>
    <w:p>
      <w:pPr>
        <w:pStyle w:val="12"/>
        <w:spacing w:line="0" w:lineRule="atLeast"/>
        <w:rPr>
          <w:rFonts w:hint="default" w:ascii="华文仿宋" w:hAnsi="华文仿宋" w:eastAsia="华文仿宋"/>
          <w:color w:val="auto"/>
          <w:lang w:val="en-US" w:eastAsia="zh-CN"/>
        </w:rPr>
      </w:pPr>
      <w:r>
        <w:rPr>
          <w:rFonts w:hint="eastAsia" w:ascii="华文仿宋" w:hAnsi="华文仿宋" w:eastAsia="华文仿宋"/>
          <w:color w:val="auto"/>
          <w:lang w:val="en-US" w:eastAsia="zh-CN"/>
        </w:rPr>
        <w:t>（三）学位授予</w:t>
      </w:r>
    </w:p>
    <w:p>
      <w:pPr>
        <w:pStyle w:val="12"/>
        <w:spacing w:line="0" w:lineRule="atLeast"/>
        <w:ind w:firstLine="435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学生完成两校课程要求及通过学位论文答辩后，可分别申请两校授予的博士学位。城大和南开按各自相应规定分别颁发毕业/学位证书（城大的学位证书上将注明与南开联合培养相关字样），并可参加两校分别举行的毕业典礼。</w:t>
      </w:r>
    </w:p>
    <w:p>
      <w:pPr>
        <w:pStyle w:val="12"/>
        <w:spacing w:line="0" w:lineRule="atLeast"/>
        <w:ind w:firstLine="435"/>
        <w:rPr>
          <w:rFonts w:ascii="华文仿宋" w:hAnsi="华文仿宋" w:eastAsia="华文仿宋"/>
          <w:color w:val="auto"/>
        </w:rPr>
      </w:pPr>
    </w:p>
    <w:p>
      <w:pPr>
        <w:pStyle w:val="12"/>
        <w:numPr>
          <w:ilvl w:val="0"/>
          <w:numId w:val="1"/>
        </w:numPr>
        <w:spacing w:line="0" w:lineRule="atLeast"/>
        <w:rPr>
          <w:rFonts w:hint="eastAsia"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</w:rPr>
        <w:t>费用及奖学金说明</w:t>
      </w:r>
    </w:p>
    <w:p>
      <w:pPr>
        <w:pStyle w:val="12"/>
        <w:numPr>
          <w:numId w:val="0"/>
        </w:numPr>
        <w:spacing w:line="0" w:lineRule="atLeast"/>
        <w:rPr>
          <w:rFonts w:hint="eastAsia" w:ascii="华文仿宋" w:hAnsi="华文仿宋" w:eastAsia="华文仿宋"/>
          <w:color w:val="auto"/>
        </w:rPr>
      </w:pPr>
    </w:p>
    <w:p>
      <w:pPr>
        <w:pStyle w:val="12"/>
        <w:numPr>
          <w:numId w:val="0"/>
        </w:numPr>
        <w:spacing w:line="0" w:lineRule="atLeast"/>
        <w:rPr>
          <w:rFonts w:hint="eastAsia"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一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作为南开注册学生，应缴纳南开大学学费，并享受在校博士研究生同等奖学金待遇；</w:t>
      </w:r>
    </w:p>
    <w:p>
      <w:pPr>
        <w:pStyle w:val="12"/>
        <w:numPr>
          <w:numId w:val="0"/>
        </w:numPr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二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学生在城大 (香港本部)及城大深圳研究院学习时，可获得城大研究生奖学金，以资助其生活费及学业所需等开支（金额可按时调整）；</w:t>
      </w:r>
    </w:p>
    <w:p>
      <w:pPr>
        <w:pStyle w:val="12"/>
        <w:numPr>
          <w:numId w:val="0"/>
        </w:numPr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三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督导小组每年会根据学生的学习进度与修课成绩做出评核，以此为依据，从而决定学生在城大学习期间是否获发城大研究生奖学金。</w:t>
      </w:r>
    </w:p>
    <w:p>
      <w:pPr>
        <w:pStyle w:val="12"/>
        <w:numPr>
          <w:numId w:val="0"/>
        </w:numPr>
        <w:spacing w:line="0" w:lineRule="atLeast"/>
        <w:rPr>
          <w:rFonts w:ascii="华文仿宋" w:hAnsi="华文仿宋" w:eastAsia="华文仿宋"/>
          <w:color w:val="auto"/>
        </w:rPr>
      </w:pPr>
      <w:r>
        <w:rPr>
          <w:rFonts w:hint="eastAsia" w:ascii="华文仿宋" w:hAnsi="华文仿宋" w:eastAsia="华文仿宋"/>
          <w:color w:val="auto"/>
          <w:lang w:eastAsia="zh-CN"/>
        </w:rPr>
        <w:t>（</w:t>
      </w:r>
      <w:r>
        <w:rPr>
          <w:rFonts w:hint="eastAsia" w:ascii="华文仿宋" w:hAnsi="华文仿宋" w:eastAsia="华文仿宋"/>
          <w:color w:val="auto"/>
          <w:lang w:val="en-US" w:eastAsia="zh-CN"/>
        </w:rPr>
        <w:t>四</w:t>
      </w:r>
      <w:r>
        <w:rPr>
          <w:rFonts w:hint="eastAsia" w:ascii="华文仿宋" w:hAnsi="华文仿宋" w:eastAsia="华文仿宋"/>
          <w:color w:val="auto"/>
          <w:lang w:eastAsia="zh-CN"/>
        </w:rPr>
        <w:t>）</w:t>
      </w:r>
      <w:r>
        <w:rPr>
          <w:rFonts w:hint="eastAsia" w:ascii="华文仿宋" w:hAnsi="华文仿宋" w:eastAsia="华文仿宋"/>
          <w:color w:val="auto"/>
        </w:rPr>
        <w:t>学生若中途无故退学，必须在指定限期内归还曾获发的全数奖学金。</w:t>
      </w:r>
    </w:p>
    <w:p>
      <w:pPr>
        <w:pStyle w:val="12"/>
        <w:spacing w:line="0" w:lineRule="atLeast"/>
        <w:ind w:left="570"/>
        <w:rPr>
          <w:rFonts w:ascii="华文仿宋" w:hAnsi="华文仿宋" w:eastAsia="华文仿宋"/>
          <w:color w:val="auto"/>
        </w:rPr>
      </w:pPr>
    </w:p>
    <w:p>
      <w:pPr>
        <w:spacing w:line="0" w:lineRule="atLeas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 w:cs="微软雅黑"/>
          <w:b/>
          <w:sz w:val="24"/>
        </w:rPr>
        <w:t>五、</w:t>
      </w:r>
      <w:r>
        <w:rPr>
          <w:rFonts w:hint="eastAsia" w:ascii="华文仿宋" w:hAnsi="华文仿宋" w:eastAsia="华文仿宋"/>
          <w:b/>
          <w:sz w:val="24"/>
        </w:rPr>
        <w:t>操作日程</w:t>
      </w:r>
      <w:r>
        <w:rPr>
          <w:rFonts w:hint="eastAsia" w:ascii="华文仿宋" w:hAnsi="华文仿宋" w:eastAsia="华文仿宋"/>
          <w:sz w:val="24"/>
        </w:rPr>
        <w:t>（注：此操作日程为暂定方案，如有变化，请以学校通知为准）</w:t>
      </w:r>
    </w:p>
    <w:p>
      <w:pPr>
        <w:spacing w:line="0" w:lineRule="atLeast"/>
        <w:rPr>
          <w:rFonts w:ascii="华文仿宋" w:hAnsi="华文仿宋" w:eastAsia="华文仿宋"/>
          <w:sz w:val="24"/>
        </w:rPr>
      </w:pPr>
    </w:p>
    <w:tbl>
      <w:tblPr>
        <w:tblStyle w:val="6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05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时间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工作内容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落实单位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研究生院向学院发布招生实施办法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4"/>
              </w:rPr>
              <w:t>-202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</w:rPr>
              <w:t>.12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学生准备申请阶段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.12.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截止申请！</w:t>
            </w:r>
          </w:p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学院将汇总学生材料及汇总名单上报研究生院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.12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南开方面进行学生申报材料的审核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研究生院、学院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.12.2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南开将最终申请报至城大研究生院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</w:rPr>
              <w:t>.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公布录取结果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城大研究生院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</w:rPr>
              <w:t>.6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城大安排录取学生正式注册为联合培养研究生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城大</w:t>
            </w:r>
          </w:p>
        </w:tc>
      </w:tr>
    </w:tbl>
    <w:p>
      <w:pPr>
        <w:pStyle w:val="12"/>
        <w:spacing w:line="0" w:lineRule="atLeast"/>
        <w:jc w:val="right"/>
        <w:rPr>
          <w:rFonts w:hint="eastAsia" w:ascii="华文仿宋" w:hAnsi="华文仿宋" w:eastAsia="华文仿宋"/>
          <w:b/>
          <w:sz w:val="32"/>
          <w:szCs w:val="32"/>
        </w:rPr>
      </w:pPr>
      <w:bookmarkStart w:id="0" w:name="_GoBack"/>
      <w:bookmarkEnd w:id="0"/>
    </w:p>
    <w:p>
      <w:pPr>
        <w:pStyle w:val="12"/>
        <w:spacing w:line="0" w:lineRule="atLeast"/>
        <w:jc w:val="right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pStyle w:val="12"/>
        <w:spacing w:line="0" w:lineRule="atLeast"/>
        <w:jc w:val="righ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研究生院</w:t>
      </w:r>
    </w:p>
    <w:p>
      <w:pPr>
        <w:pStyle w:val="12"/>
        <w:spacing w:line="0" w:lineRule="atLeast"/>
        <w:jc w:val="right"/>
        <w:rPr>
          <w:rFonts w:hint="default" w:ascii="华文仿宋" w:hAnsi="华文仿宋" w:eastAsia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                       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2022年9月</w:t>
      </w:r>
    </w:p>
    <w:sectPr>
      <w:footerReference r:id="rId3" w:type="default"/>
      <w:pgSz w:w="11906" w:h="16838"/>
      <w:pgMar w:top="1440" w:right="141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6263451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6D058"/>
    <w:multiLevelType w:val="singleLevel"/>
    <w:tmpl w:val="3B86D0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4ZjNkNzQzNDAzNzA0ZDk5YTFiZjRhMzAzMzQ4M2YifQ=="/>
  </w:docVars>
  <w:rsids>
    <w:rsidRoot w:val="005D5010"/>
    <w:rsid w:val="00001F05"/>
    <w:rsid w:val="00024FFE"/>
    <w:rsid w:val="0005780D"/>
    <w:rsid w:val="00092890"/>
    <w:rsid w:val="000A7263"/>
    <w:rsid w:val="000E38CF"/>
    <w:rsid w:val="0013492F"/>
    <w:rsid w:val="001457D8"/>
    <w:rsid w:val="00190CD7"/>
    <w:rsid w:val="0019269C"/>
    <w:rsid w:val="001A271B"/>
    <w:rsid w:val="00214615"/>
    <w:rsid w:val="00257EC6"/>
    <w:rsid w:val="00287A93"/>
    <w:rsid w:val="002A073D"/>
    <w:rsid w:val="002A5CF6"/>
    <w:rsid w:val="002A6256"/>
    <w:rsid w:val="002D7A54"/>
    <w:rsid w:val="0030751F"/>
    <w:rsid w:val="0030763A"/>
    <w:rsid w:val="00343E84"/>
    <w:rsid w:val="00381D0E"/>
    <w:rsid w:val="00391983"/>
    <w:rsid w:val="003B26E1"/>
    <w:rsid w:val="003B433C"/>
    <w:rsid w:val="003D6C6D"/>
    <w:rsid w:val="0042543A"/>
    <w:rsid w:val="0042696F"/>
    <w:rsid w:val="0046062C"/>
    <w:rsid w:val="00462C0A"/>
    <w:rsid w:val="00462D61"/>
    <w:rsid w:val="00467B33"/>
    <w:rsid w:val="0047647E"/>
    <w:rsid w:val="004A7D99"/>
    <w:rsid w:val="004C6A55"/>
    <w:rsid w:val="004E77D3"/>
    <w:rsid w:val="00520916"/>
    <w:rsid w:val="005534A1"/>
    <w:rsid w:val="00593A51"/>
    <w:rsid w:val="00596E4E"/>
    <w:rsid w:val="005C2E55"/>
    <w:rsid w:val="005C418B"/>
    <w:rsid w:val="005D13F0"/>
    <w:rsid w:val="005D26B0"/>
    <w:rsid w:val="005D5010"/>
    <w:rsid w:val="005D5EEB"/>
    <w:rsid w:val="005F5169"/>
    <w:rsid w:val="00602EDB"/>
    <w:rsid w:val="00625BFE"/>
    <w:rsid w:val="0066600E"/>
    <w:rsid w:val="0069567C"/>
    <w:rsid w:val="006D6805"/>
    <w:rsid w:val="006E3A92"/>
    <w:rsid w:val="006E4E6E"/>
    <w:rsid w:val="006E7A1B"/>
    <w:rsid w:val="006F0FB6"/>
    <w:rsid w:val="006F4E35"/>
    <w:rsid w:val="006F6845"/>
    <w:rsid w:val="007011B5"/>
    <w:rsid w:val="00737528"/>
    <w:rsid w:val="00740C52"/>
    <w:rsid w:val="0075107B"/>
    <w:rsid w:val="007536A4"/>
    <w:rsid w:val="00762824"/>
    <w:rsid w:val="00772857"/>
    <w:rsid w:val="00782F04"/>
    <w:rsid w:val="007B57B2"/>
    <w:rsid w:val="007D3BB8"/>
    <w:rsid w:val="007E0DB3"/>
    <w:rsid w:val="007E7878"/>
    <w:rsid w:val="007F0665"/>
    <w:rsid w:val="007F1959"/>
    <w:rsid w:val="007F3199"/>
    <w:rsid w:val="008332E6"/>
    <w:rsid w:val="00845EDC"/>
    <w:rsid w:val="00846648"/>
    <w:rsid w:val="008763CA"/>
    <w:rsid w:val="0089577C"/>
    <w:rsid w:val="008A0216"/>
    <w:rsid w:val="008A64A5"/>
    <w:rsid w:val="008B1235"/>
    <w:rsid w:val="008B7598"/>
    <w:rsid w:val="008B7CDF"/>
    <w:rsid w:val="008F03CC"/>
    <w:rsid w:val="00903D86"/>
    <w:rsid w:val="009574B4"/>
    <w:rsid w:val="0097416B"/>
    <w:rsid w:val="00985408"/>
    <w:rsid w:val="0098713A"/>
    <w:rsid w:val="009A68D7"/>
    <w:rsid w:val="009B459B"/>
    <w:rsid w:val="009D1A81"/>
    <w:rsid w:val="009D2347"/>
    <w:rsid w:val="009D397A"/>
    <w:rsid w:val="009E34AE"/>
    <w:rsid w:val="009E6562"/>
    <w:rsid w:val="009F7546"/>
    <w:rsid w:val="00A31914"/>
    <w:rsid w:val="00AB3443"/>
    <w:rsid w:val="00AC7F02"/>
    <w:rsid w:val="00AE424A"/>
    <w:rsid w:val="00AE584B"/>
    <w:rsid w:val="00B006A5"/>
    <w:rsid w:val="00B27C8E"/>
    <w:rsid w:val="00B52BE9"/>
    <w:rsid w:val="00B53732"/>
    <w:rsid w:val="00B8448E"/>
    <w:rsid w:val="00B868FF"/>
    <w:rsid w:val="00B9643D"/>
    <w:rsid w:val="00BB3FB6"/>
    <w:rsid w:val="00BC1DD0"/>
    <w:rsid w:val="00BF2158"/>
    <w:rsid w:val="00C072F5"/>
    <w:rsid w:val="00C105B6"/>
    <w:rsid w:val="00C61D01"/>
    <w:rsid w:val="00C673AA"/>
    <w:rsid w:val="00C70321"/>
    <w:rsid w:val="00C83E5E"/>
    <w:rsid w:val="00CA3C72"/>
    <w:rsid w:val="00CC47BA"/>
    <w:rsid w:val="00CD7EE8"/>
    <w:rsid w:val="00CE1C3D"/>
    <w:rsid w:val="00CF09E8"/>
    <w:rsid w:val="00D107C1"/>
    <w:rsid w:val="00D15676"/>
    <w:rsid w:val="00D21F38"/>
    <w:rsid w:val="00D36B41"/>
    <w:rsid w:val="00D60C25"/>
    <w:rsid w:val="00D61510"/>
    <w:rsid w:val="00D7495E"/>
    <w:rsid w:val="00D85711"/>
    <w:rsid w:val="00D90A2A"/>
    <w:rsid w:val="00DA5949"/>
    <w:rsid w:val="00DD5991"/>
    <w:rsid w:val="00E0072A"/>
    <w:rsid w:val="00E437B3"/>
    <w:rsid w:val="00E72C66"/>
    <w:rsid w:val="00E85EB0"/>
    <w:rsid w:val="00E9324B"/>
    <w:rsid w:val="00E9663C"/>
    <w:rsid w:val="00EE1668"/>
    <w:rsid w:val="00F028AE"/>
    <w:rsid w:val="00F043EB"/>
    <w:rsid w:val="00F14A07"/>
    <w:rsid w:val="00F22337"/>
    <w:rsid w:val="00F51094"/>
    <w:rsid w:val="00F549D7"/>
    <w:rsid w:val="00F642E5"/>
    <w:rsid w:val="00FA251D"/>
    <w:rsid w:val="00FE03C4"/>
    <w:rsid w:val="02B7624C"/>
    <w:rsid w:val="03FE0850"/>
    <w:rsid w:val="09C24100"/>
    <w:rsid w:val="117378D5"/>
    <w:rsid w:val="1E5F0B77"/>
    <w:rsid w:val="209B0E6B"/>
    <w:rsid w:val="2E491168"/>
    <w:rsid w:val="2F49095D"/>
    <w:rsid w:val="35A95619"/>
    <w:rsid w:val="35DF6603"/>
    <w:rsid w:val="3CE00A3F"/>
    <w:rsid w:val="3FB84EAB"/>
    <w:rsid w:val="5AE53C67"/>
    <w:rsid w:val="623E45A6"/>
    <w:rsid w:val="69336677"/>
    <w:rsid w:val="73C76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styleId="10">
    <w:name w:val="annotation reference"/>
    <w:semiHidden/>
    <w:unhideWhenUsed/>
    <w:uiPriority w:val="99"/>
    <w:rPr>
      <w:sz w:val="16"/>
      <w:szCs w:val="16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2071</Words>
  <Characters>2306</Characters>
  <Lines>16</Lines>
  <Paragraphs>4</Paragraphs>
  <TotalTime>11</TotalTime>
  <ScaleCrop>false</ScaleCrop>
  <LinksUpToDate>false</LinksUpToDate>
  <CharactersWithSpaces>2356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2018-10-15T06:50:00Z</dcterms:created>
  <dc:creator>User</dc:creator>
  <cp:lastModifiedBy>licj</cp:lastModifiedBy>
  <dcterms:modified xsi:type="dcterms:W3CDTF">2022-09-20T10:12:59Z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834AAB3089224064879705E5DDC6354C</vt:lpwstr>
  </property>
</Properties>
</file>