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2021年国际研究生奖学金信息说明会</w:t>
      </w:r>
    </w:p>
    <w:p>
      <w:pPr>
        <w:jc w:val="center"/>
        <w:rPr>
          <w:rFonts w:hint="eastAsia"/>
          <w:sz w:val="36"/>
          <w:szCs w:val="44"/>
          <w:lang w:val="en-US" w:eastAsia="zh-CN"/>
        </w:rPr>
      </w:pPr>
      <w:r>
        <w:rPr>
          <w:rFonts w:hint="eastAsia"/>
          <w:sz w:val="36"/>
          <w:szCs w:val="44"/>
          <w:lang w:val="en-US" w:eastAsia="zh-CN"/>
        </w:rPr>
        <w:t>（线上）活动说明及日程</w:t>
      </w:r>
    </w:p>
    <w:p>
      <w:pPr>
        <w:numPr>
          <w:ilvl w:val="0"/>
          <w:numId w:val="1"/>
        </w:numPr>
        <w:spacing w:line="360" w:lineRule="auto"/>
        <w:jc w:val="left"/>
        <w:rPr>
          <w:rFonts w:hint="eastAsia"/>
          <w:sz w:val="24"/>
          <w:szCs w:val="24"/>
          <w:lang w:val="en-US" w:eastAsia="zh-CN"/>
        </w:rPr>
      </w:pPr>
      <w:r>
        <w:rPr>
          <w:rFonts w:hint="eastAsia"/>
          <w:sz w:val="24"/>
          <w:szCs w:val="24"/>
          <w:lang w:val="en-US" w:eastAsia="zh-CN"/>
        </w:rPr>
        <w:t>活动说明</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2021年线上国际研究生奖学金信息说明会将于11月13-14日举办，目前共有来自13个国家的近30家高等院校/科研机构参加。</w:t>
      </w:r>
    </w:p>
    <w:p>
      <w:pPr>
        <w:numPr>
          <w:ilvl w:val="0"/>
          <w:numId w:val="2"/>
        </w:numPr>
        <w:spacing w:line="360" w:lineRule="auto"/>
        <w:ind w:left="420" w:leftChars="0"/>
        <w:jc w:val="left"/>
        <w:rPr>
          <w:rFonts w:hint="eastAsia"/>
          <w:sz w:val="24"/>
          <w:szCs w:val="24"/>
          <w:lang w:val="en-US" w:eastAsia="zh-CN"/>
        </w:rPr>
      </w:pPr>
      <w:r>
        <w:rPr>
          <w:rFonts w:hint="eastAsia"/>
          <w:sz w:val="24"/>
          <w:szCs w:val="24"/>
          <w:lang w:val="en-US" w:eastAsia="zh-CN"/>
        </w:rPr>
        <w:t>活动形式</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分为两个阶段：</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第一阶段：11月1日-13日期间上线</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以录播形式，提供最近国家公派出国留学政策解读、项目宣讲以及国外搞笑机构留学资讯、招生信息等，供在线观看。</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第二阶段：11月13-14日</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按照预约时间安排，线上开展学生与国外导师一对一面试及国内外高校校际交流活动。</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包含三部分内容：</w:t>
      </w:r>
    </w:p>
    <w:p>
      <w:pPr>
        <w:numPr>
          <w:ilvl w:val="0"/>
          <w:numId w:val="3"/>
        </w:numPr>
        <w:spacing w:line="360" w:lineRule="auto"/>
        <w:ind w:firstLine="420" w:firstLineChars="0"/>
        <w:jc w:val="left"/>
        <w:rPr>
          <w:rFonts w:hint="default"/>
          <w:sz w:val="24"/>
          <w:szCs w:val="24"/>
          <w:lang w:val="en-US" w:eastAsia="zh-CN"/>
        </w:rPr>
      </w:pPr>
      <w:r>
        <w:rPr>
          <w:rFonts w:hint="eastAsia"/>
          <w:sz w:val="24"/>
          <w:szCs w:val="24"/>
          <w:lang w:val="en-US" w:eastAsia="zh-CN"/>
        </w:rPr>
        <w:t>国家公派出国留学政策解读及项目宣讲（录播）</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国家留学基金委为主讲方，国家留学基金委相关部室（选培、美大、欧亚非）及东方国际教育交流中心就公派出国留学政策、高水平项目及研究生类重点项目等进行宣讲。通过录播的形式，在11月13-14日线上活动开始前投放至视频平台供在线观看，活动结束后仍可实时观看。</w:t>
      </w:r>
    </w:p>
    <w:p>
      <w:pPr>
        <w:numPr>
          <w:ilvl w:val="0"/>
          <w:numId w:val="3"/>
        </w:numPr>
        <w:spacing w:line="360" w:lineRule="auto"/>
        <w:ind w:left="0" w:leftChars="0" w:firstLine="420" w:firstLineChars="0"/>
        <w:jc w:val="left"/>
        <w:rPr>
          <w:rFonts w:hint="default"/>
          <w:sz w:val="24"/>
          <w:szCs w:val="24"/>
          <w:lang w:val="en-US" w:eastAsia="zh-CN"/>
        </w:rPr>
      </w:pPr>
      <w:r>
        <w:rPr>
          <w:rFonts w:hint="eastAsia"/>
          <w:sz w:val="24"/>
          <w:szCs w:val="24"/>
          <w:lang w:val="en-US" w:eastAsia="zh-CN"/>
        </w:rPr>
        <w:t>国外高校/科研机构留学资讯及招生信息讲座（录播）</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国外高校/科研机构为主讲方，介绍其基本情况、留学咨询以及最新的招生政策。讲座视频由国外院校按要求制作后提供我委，由我委在活动开始前投放至视频平台供在线观看，活动结束后仍可实时观看。</w:t>
      </w:r>
    </w:p>
    <w:p>
      <w:pPr>
        <w:numPr>
          <w:ilvl w:val="0"/>
          <w:numId w:val="3"/>
        </w:numPr>
        <w:spacing w:line="360" w:lineRule="auto"/>
        <w:ind w:left="0" w:leftChars="0" w:firstLine="420" w:firstLineChars="0"/>
        <w:jc w:val="left"/>
        <w:rPr>
          <w:rFonts w:hint="default"/>
          <w:sz w:val="24"/>
          <w:szCs w:val="24"/>
          <w:lang w:val="en-US" w:eastAsia="zh-CN"/>
        </w:rPr>
      </w:pPr>
      <w:r>
        <w:rPr>
          <w:rFonts w:hint="eastAsia"/>
          <w:sz w:val="24"/>
          <w:szCs w:val="24"/>
          <w:lang w:val="en-US" w:eastAsia="zh-CN"/>
        </w:rPr>
        <w:t>线上一对一面试（11月13-14日）</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由承办院校组织学生通过IGSF网站进行注册报名，并在一对一面试系统开放后，选择外方院校及参会代表进行面试预约。外方院校及参会代表根据学生信息线上确认学生预约时段，完成双方预约。预约成功的学生将在活动当天根据线上确认的时段与外方进行一对一线上面试。每位学生的面试时间约为10分钟（具体时间将视活动现场情况微调）。</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由于此环节涉及学生个人信息，不安排直播及回放。</w:t>
      </w:r>
    </w:p>
    <w:p>
      <w:pPr>
        <w:numPr>
          <w:ilvl w:val="0"/>
          <w:numId w:val="2"/>
        </w:numPr>
        <w:spacing w:line="360" w:lineRule="auto"/>
        <w:ind w:left="420" w:leftChars="0" w:firstLine="0" w:firstLineChars="0"/>
        <w:jc w:val="left"/>
        <w:rPr>
          <w:rFonts w:hint="eastAsia"/>
          <w:sz w:val="24"/>
          <w:szCs w:val="24"/>
          <w:lang w:val="en-US" w:eastAsia="zh-CN"/>
        </w:rPr>
      </w:pPr>
      <w:r>
        <w:rPr>
          <w:rFonts w:hint="eastAsia"/>
          <w:sz w:val="24"/>
          <w:szCs w:val="24"/>
          <w:lang w:val="en-US" w:eastAsia="zh-CN"/>
        </w:rPr>
        <w:t>注册报名</w:t>
      </w:r>
    </w:p>
    <w:p>
      <w:pPr>
        <w:numPr>
          <w:ilvl w:val="0"/>
          <w:numId w:val="4"/>
        </w:numPr>
        <w:spacing w:line="360" w:lineRule="auto"/>
        <w:ind w:firstLine="420" w:firstLineChars="0"/>
        <w:jc w:val="left"/>
        <w:rPr>
          <w:rFonts w:hint="default"/>
          <w:sz w:val="24"/>
          <w:szCs w:val="24"/>
          <w:lang w:val="en-US" w:eastAsia="zh-CN"/>
        </w:rPr>
      </w:pPr>
      <w:r>
        <w:rPr>
          <w:rFonts w:hint="eastAsia"/>
          <w:sz w:val="24"/>
          <w:szCs w:val="24"/>
          <w:lang w:val="en-US" w:eastAsia="zh-CN"/>
        </w:rPr>
        <w:t>学生可于</w:t>
      </w:r>
      <w:r>
        <w:rPr>
          <w:rFonts w:hint="eastAsia"/>
          <w:b/>
          <w:bCs/>
          <w:sz w:val="24"/>
          <w:szCs w:val="24"/>
          <w:lang w:val="en-US" w:eastAsia="zh-CN"/>
        </w:rPr>
        <w:t>10月17日</w:t>
      </w:r>
      <w:r>
        <w:rPr>
          <w:rFonts w:hint="eastAsia"/>
          <w:sz w:val="24"/>
          <w:szCs w:val="24"/>
          <w:lang w:val="en-US" w:eastAsia="zh-CN"/>
        </w:rPr>
        <w:t>前登录IGSF网站（https://igsf.csc.edu.cn/）进行注册报名，填写个人信息，提交相关补充材料。</w:t>
      </w:r>
    </w:p>
    <w:p>
      <w:pPr>
        <w:numPr>
          <w:ilvl w:val="0"/>
          <w:numId w:val="4"/>
        </w:numPr>
        <w:spacing w:line="360" w:lineRule="auto"/>
        <w:ind w:firstLine="420" w:firstLineChars="0"/>
        <w:jc w:val="left"/>
        <w:rPr>
          <w:rFonts w:hint="default"/>
          <w:sz w:val="24"/>
          <w:szCs w:val="24"/>
          <w:lang w:val="en-US" w:eastAsia="zh-CN"/>
        </w:rPr>
      </w:pPr>
      <w:r>
        <w:rPr>
          <w:rFonts w:hint="eastAsia"/>
          <w:sz w:val="24"/>
          <w:szCs w:val="24"/>
          <w:lang w:val="en-US" w:eastAsia="zh-CN"/>
        </w:rPr>
        <w:t>IGSF网站一对一面试系统将于9月16日-10月24日开放，届时学生可与外方代表进行面试预约。有意向参加一</w:t>
      </w:r>
      <w:bookmarkStart w:id="0" w:name="_GoBack"/>
      <w:bookmarkEnd w:id="0"/>
      <w:r>
        <w:rPr>
          <w:rFonts w:hint="eastAsia"/>
          <w:sz w:val="24"/>
          <w:szCs w:val="24"/>
          <w:lang w:val="en-US" w:eastAsia="zh-CN"/>
        </w:rPr>
        <w:t>对一面试的学生，务必在</w:t>
      </w:r>
      <w:r>
        <w:rPr>
          <w:rFonts w:hint="eastAsia"/>
          <w:b/>
          <w:bCs/>
          <w:sz w:val="24"/>
          <w:szCs w:val="24"/>
          <w:lang w:val="en-US" w:eastAsia="zh-CN"/>
        </w:rPr>
        <w:t>10月24日</w:t>
      </w:r>
      <w:r>
        <w:rPr>
          <w:rFonts w:hint="eastAsia"/>
          <w:sz w:val="24"/>
          <w:szCs w:val="24"/>
          <w:lang w:val="en-US" w:eastAsia="zh-CN"/>
        </w:rPr>
        <w:t>前通过网站系统完成预约匹配。</w:t>
      </w:r>
    </w:p>
    <w:p>
      <w:pPr>
        <w:numPr>
          <w:ilvl w:val="0"/>
          <w:numId w:val="0"/>
        </w:numPr>
        <w:spacing w:line="360" w:lineRule="auto"/>
        <w:ind w:firstLine="420" w:firstLineChars="0"/>
        <w:jc w:val="left"/>
        <w:rPr>
          <w:rFonts w:hint="default"/>
          <w:sz w:val="24"/>
          <w:szCs w:val="24"/>
          <w:lang w:val="en-US" w:eastAsia="zh-CN"/>
        </w:rPr>
      </w:pPr>
      <w:r>
        <w:rPr>
          <w:rFonts w:hint="eastAsia"/>
          <w:sz w:val="24"/>
          <w:szCs w:val="24"/>
          <w:lang w:val="en-US" w:eastAsia="zh-CN"/>
        </w:rPr>
        <w:t>（三）注意事项</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1. 为保证面试质量，建议提前上传成绩单，外语考试成绩证明、留学计划等相关材料。</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2. 一经预约成功，参加一对一面试的学生应于活动当天提前上线等待，错过时间将不再重新安排。</w:t>
      </w:r>
    </w:p>
    <w:p>
      <w:pPr>
        <w:numPr>
          <w:ilvl w:val="0"/>
          <w:numId w:val="0"/>
        </w:numPr>
        <w:spacing w:line="360" w:lineRule="auto"/>
        <w:ind w:firstLine="420" w:firstLineChars="0"/>
        <w:jc w:val="left"/>
        <w:rPr>
          <w:rFonts w:hint="default"/>
          <w:sz w:val="24"/>
          <w:szCs w:val="24"/>
          <w:lang w:val="en-US" w:eastAsia="zh-CN"/>
        </w:rPr>
      </w:pPr>
      <w:r>
        <w:rPr>
          <w:rFonts w:hint="eastAsia"/>
          <w:sz w:val="24"/>
          <w:szCs w:val="24"/>
          <w:lang w:val="en-US" w:eastAsia="zh-CN"/>
        </w:rPr>
        <w:t>3. 请参加活动的学生务必提前调试好音视频设备，</w:t>
      </w:r>
      <w:r>
        <w:rPr>
          <w:rFonts w:hint="eastAsia"/>
          <w:b/>
          <w:bCs/>
          <w:sz w:val="24"/>
          <w:szCs w:val="24"/>
          <w:lang w:val="en-US" w:eastAsia="zh-CN"/>
        </w:rPr>
        <w:t>确保面试、交流的全过程打开摄像头</w:t>
      </w:r>
      <w:r>
        <w:rPr>
          <w:rFonts w:hint="eastAsia"/>
          <w:sz w:val="24"/>
          <w:szCs w:val="24"/>
          <w:lang w:val="en-US" w:eastAsia="zh-CN"/>
        </w:rPr>
        <w:t>，并注意着装、语言等应符合国际礼仪。</w:t>
      </w:r>
    </w:p>
    <w:p>
      <w:pPr>
        <w:numPr>
          <w:ilvl w:val="0"/>
          <w:numId w:val="0"/>
        </w:numPr>
        <w:spacing w:line="360" w:lineRule="auto"/>
        <w:ind w:firstLine="420" w:firstLineChars="0"/>
        <w:jc w:val="left"/>
        <w:rPr>
          <w:rFonts w:hint="eastAsia"/>
          <w:sz w:val="24"/>
          <w:szCs w:val="24"/>
          <w:lang w:val="en-US" w:eastAsia="zh-CN"/>
        </w:rPr>
      </w:pPr>
      <w:r>
        <w:rPr>
          <w:rFonts w:hint="eastAsia"/>
          <w:sz w:val="24"/>
          <w:szCs w:val="24"/>
          <w:lang w:val="en-US" w:eastAsia="zh-CN"/>
        </w:rPr>
        <w:t>有关本届说明会视频软件具体操作指南等将于后期另行通知。</w:t>
      </w:r>
    </w:p>
    <w:p>
      <w:pPr>
        <w:numPr>
          <w:ilvl w:val="0"/>
          <w:numId w:val="1"/>
        </w:numPr>
        <w:spacing w:line="360" w:lineRule="auto"/>
        <w:ind w:left="0" w:leftChars="0" w:firstLine="0" w:firstLineChars="0"/>
        <w:jc w:val="left"/>
        <w:rPr>
          <w:rFonts w:hint="eastAsia"/>
          <w:sz w:val="24"/>
          <w:szCs w:val="24"/>
          <w:lang w:val="en-US" w:eastAsia="zh-CN"/>
        </w:rPr>
      </w:pPr>
      <w:r>
        <w:rPr>
          <w:rFonts w:hint="eastAsia"/>
          <w:sz w:val="24"/>
          <w:szCs w:val="24"/>
          <w:lang w:val="en-US" w:eastAsia="zh-CN"/>
        </w:rPr>
        <w:t>活动日程</w:t>
      </w:r>
    </w:p>
    <w:tbl>
      <w:tblPr>
        <w:tblStyle w:val="3"/>
        <w:tblpPr w:leftFromText="180" w:rightFromText="180" w:vertAnchor="text" w:horzAnchor="page" w:tblpX="999" w:tblpY="207"/>
        <w:tblOverlap w:val="never"/>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2600"/>
        <w:gridCol w:w="2625"/>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日期</w:t>
            </w:r>
          </w:p>
        </w:tc>
        <w:tc>
          <w:tcPr>
            <w:tcW w:w="2600" w:type="dxa"/>
          </w:tcPr>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时间</w:t>
            </w:r>
          </w:p>
        </w:tc>
        <w:tc>
          <w:tcPr>
            <w:tcW w:w="2625" w:type="dxa"/>
          </w:tcPr>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主讲</w:t>
            </w:r>
          </w:p>
        </w:tc>
        <w:tc>
          <w:tcPr>
            <w:tcW w:w="3036" w:type="dxa"/>
          </w:tcPr>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957" w:type="dxa"/>
            <w:vMerge w:val="restart"/>
          </w:tcPr>
          <w:p>
            <w:pPr>
              <w:numPr>
                <w:ilvl w:val="0"/>
                <w:numId w:val="0"/>
              </w:numPr>
              <w:spacing w:line="360" w:lineRule="auto"/>
              <w:jc w:val="center"/>
              <w:rPr>
                <w:rFonts w:hint="eastAsia"/>
                <w:sz w:val="24"/>
                <w:szCs w:val="24"/>
                <w:vertAlign w:val="baseline"/>
                <w:lang w:val="en-US" w:eastAsia="zh-CN"/>
              </w:rPr>
            </w:pPr>
          </w:p>
          <w:p>
            <w:pPr>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11月13日</w:t>
            </w:r>
          </w:p>
          <w:p>
            <w:pPr>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（周六）</w:t>
            </w:r>
          </w:p>
          <w:p>
            <w:pPr>
              <w:numPr>
                <w:ilvl w:val="0"/>
                <w:numId w:val="0"/>
              </w:numPr>
              <w:spacing w:line="360" w:lineRule="auto"/>
              <w:jc w:val="center"/>
              <w:rPr>
                <w:rFonts w:hint="eastAsia"/>
                <w:sz w:val="24"/>
                <w:szCs w:val="24"/>
                <w:vertAlign w:val="baseline"/>
                <w:lang w:val="en-US" w:eastAsia="zh-CN"/>
              </w:rPr>
            </w:pPr>
            <w:r>
              <w:rPr>
                <w:rFonts w:hint="eastAsia"/>
                <w:sz w:val="24"/>
                <w:szCs w:val="24"/>
                <w:vertAlign w:val="baseline"/>
                <w:lang w:val="en-US" w:eastAsia="zh-CN"/>
              </w:rPr>
              <w:t>11月14日</w:t>
            </w:r>
          </w:p>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（周日）</w:t>
            </w:r>
          </w:p>
        </w:tc>
        <w:tc>
          <w:tcPr>
            <w:tcW w:w="2600" w:type="dxa"/>
          </w:tcPr>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10:00-13:00</w:t>
            </w:r>
          </w:p>
        </w:tc>
        <w:tc>
          <w:tcPr>
            <w:tcW w:w="2625" w:type="dxa"/>
            <w:vMerge w:val="restart"/>
          </w:tcPr>
          <w:p>
            <w:pPr>
              <w:numPr>
                <w:ilvl w:val="0"/>
                <w:numId w:val="5"/>
              </w:numPr>
              <w:spacing w:line="360" w:lineRule="auto"/>
              <w:jc w:val="left"/>
              <w:rPr>
                <w:rFonts w:hint="default"/>
                <w:sz w:val="24"/>
                <w:szCs w:val="24"/>
                <w:vertAlign w:val="baseline"/>
                <w:lang w:val="en-US" w:eastAsia="zh-CN"/>
              </w:rPr>
            </w:pPr>
            <w:r>
              <w:rPr>
                <w:rFonts w:hint="eastAsia"/>
                <w:sz w:val="24"/>
                <w:szCs w:val="24"/>
                <w:vertAlign w:val="baseline"/>
                <w:lang w:val="en-US" w:eastAsia="zh-CN"/>
              </w:rPr>
              <w:t>国外高校/科研机构（具体时间段见附件）</w:t>
            </w:r>
          </w:p>
          <w:p>
            <w:pPr>
              <w:numPr>
                <w:ilvl w:val="0"/>
                <w:numId w:val="5"/>
              </w:numPr>
              <w:spacing w:line="360" w:lineRule="auto"/>
              <w:jc w:val="left"/>
              <w:rPr>
                <w:rFonts w:hint="default"/>
                <w:sz w:val="24"/>
                <w:szCs w:val="24"/>
                <w:vertAlign w:val="baseline"/>
                <w:lang w:val="en-US" w:eastAsia="zh-CN"/>
              </w:rPr>
            </w:pPr>
            <w:r>
              <w:rPr>
                <w:rFonts w:hint="eastAsia"/>
                <w:sz w:val="24"/>
                <w:szCs w:val="24"/>
                <w:vertAlign w:val="baseline"/>
                <w:lang w:val="en-US" w:eastAsia="zh-CN"/>
              </w:rPr>
              <w:t>国家留学基金管理委员会</w:t>
            </w:r>
          </w:p>
          <w:p>
            <w:pPr>
              <w:numPr>
                <w:ilvl w:val="0"/>
                <w:numId w:val="5"/>
              </w:numPr>
              <w:spacing w:line="360" w:lineRule="auto"/>
              <w:jc w:val="left"/>
              <w:rPr>
                <w:rFonts w:hint="default"/>
                <w:sz w:val="24"/>
                <w:szCs w:val="24"/>
                <w:vertAlign w:val="baseline"/>
                <w:lang w:val="en-US" w:eastAsia="zh-CN"/>
              </w:rPr>
            </w:pPr>
            <w:r>
              <w:rPr>
                <w:rFonts w:hint="eastAsia"/>
                <w:sz w:val="24"/>
                <w:szCs w:val="24"/>
                <w:vertAlign w:val="baseline"/>
                <w:lang w:val="en-US" w:eastAsia="zh-CN"/>
              </w:rPr>
              <w:t>东方国际教育交流中心</w:t>
            </w:r>
          </w:p>
        </w:tc>
        <w:tc>
          <w:tcPr>
            <w:tcW w:w="3036" w:type="dxa"/>
          </w:tcPr>
          <w:p>
            <w:pPr>
              <w:numPr>
                <w:ilvl w:val="0"/>
                <w:numId w:val="0"/>
              </w:numPr>
              <w:spacing w:line="360" w:lineRule="auto"/>
              <w:jc w:val="left"/>
              <w:rPr>
                <w:rFonts w:hint="default"/>
                <w:sz w:val="24"/>
                <w:szCs w:val="24"/>
                <w:vertAlign w:val="baseline"/>
                <w:lang w:val="en-US" w:eastAsia="zh-CN"/>
              </w:rPr>
            </w:pPr>
            <w:r>
              <w:rPr>
                <w:rFonts w:hint="eastAsia"/>
                <w:sz w:val="24"/>
                <w:szCs w:val="24"/>
                <w:vertAlign w:val="baseline"/>
                <w:lang w:val="en-US" w:eastAsia="zh-CN"/>
              </w:rPr>
              <w:t>学生与国外院校代表一对一面试（3小时）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57" w:type="dxa"/>
            <w:vMerge w:val="continue"/>
          </w:tcPr>
          <w:p>
            <w:pPr>
              <w:numPr>
                <w:ilvl w:val="0"/>
                <w:numId w:val="0"/>
              </w:numPr>
              <w:spacing w:line="360" w:lineRule="auto"/>
              <w:jc w:val="left"/>
              <w:rPr>
                <w:rFonts w:hint="default"/>
                <w:sz w:val="24"/>
                <w:szCs w:val="24"/>
                <w:vertAlign w:val="baseline"/>
                <w:lang w:val="en-US" w:eastAsia="zh-CN"/>
              </w:rPr>
            </w:pPr>
          </w:p>
        </w:tc>
        <w:tc>
          <w:tcPr>
            <w:tcW w:w="2600" w:type="dxa"/>
          </w:tcPr>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14:00-17:00</w:t>
            </w:r>
          </w:p>
        </w:tc>
        <w:tc>
          <w:tcPr>
            <w:tcW w:w="2625" w:type="dxa"/>
            <w:vMerge w:val="continue"/>
          </w:tcPr>
          <w:p>
            <w:pPr>
              <w:numPr>
                <w:ilvl w:val="0"/>
                <w:numId w:val="0"/>
              </w:numPr>
              <w:spacing w:line="360" w:lineRule="auto"/>
              <w:jc w:val="left"/>
              <w:rPr>
                <w:rFonts w:hint="default"/>
                <w:sz w:val="24"/>
                <w:szCs w:val="24"/>
                <w:vertAlign w:val="baseline"/>
                <w:lang w:val="en-US" w:eastAsia="zh-CN"/>
              </w:rPr>
            </w:pPr>
          </w:p>
        </w:tc>
        <w:tc>
          <w:tcPr>
            <w:tcW w:w="3036" w:type="dxa"/>
          </w:tcPr>
          <w:p>
            <w:pPr>
              <w:numPr>
                <w:ilvl w:val="0"/>
                <w:numId w:val="0"/>
              </w:numPr>
              <w:spacing w:line="360" w:lineRule="auto"/>
              <w:jc w:val="left"/>
              <w:rPr>
                <w:rFonts w:hint="eastAsia"/>
                <w:sz w:val="24"/>
                <w:szCs w:val="24"/>
                <w:vertAlign w:val="baseline"/>
                <w:lang w:val="en-US" w:eastAsia="zh-CN"/>
              </w:rPr>
            </w:pPr>
            <w:r>
              <w:rPr>
                <w:rFonts w:hint="eastAsia"/>
                <w:sz w:val="24"/>
                <w:szCs w:val="24"/>
                <w:vertAlign w:val="baseline"/>
                <w:lang w:val="en-US" w:eastAsia="zh-CN"/>
              </w:rPr>
              <w:t>国家留学基金委咨询室</w:t>
            </w:r>
          </w:p>
          <w:p>
            <w:pPr>
              <w:numPr>
                <w:ilvl w:val="0"/>
                <w:numId w:val="0"/>
              </w:numPr>
              <w:spacing w:line="360" w:lineRule="auto"/>
              <w:jc w:val="left"/>
              <w:rPr>
                <w:rFonts w:hint="default"/>
                <w:sz w:val="24"/>
                <w:szCs w:val="24"/>
                <w:vertAlign w:val="baseline"/>
                <w:lang w:val="en-US" w:eastAsia="zh-CN"/>
              </w:rPr>
            </w:pPr>
            <w:r>
              <w:rPr>
                <w:rFonts w:hint="eastAsia"/>
                <w:sz w:val="24"/>
                <w:szCs w:val="24"/>
                <w:vertAlign w:val="baseline"/>
                <w:lang w:val="en-US" w:eastAsia="zh-CN"/>
              </w:rPr>
              <w:t>东方国际咨询室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957" w:type="dxa"/>
            <w:vMerge w:val="continue"/>
          </w:tcPr>
          <w:p>
            <w:pPr>
              <w:numPr>
                <w:ilvl w:val="0"/>
                <w:numId w:val="0"/>
              </w:numPr>
              <w:spacing w:line="360" w:lineRule="auto"/>
              <w:jc w:val="left"/>
              <w:rPr>
                <w:rFonts w:hint="default"/>
                <w:sz w:val="24"/>
                <w:szCs w:val="24"/>
                <w:vertAlign w:val="baseline"/>
                <w:lang w:val="en-US" w:eastAsia="zh-CN"/>
              </w:rPr>
            </w:pPr>
          </w:p>
        </w:tc>
        <w:tc>
          <w:tcPr>
            <w:tcW w:w="2600" w:type="dxa"/>
          </w:tcPr>
          <w:p>
            <w:pPr>
              <w:numPr>
                <w:ilvl w:val="0"/>
                <w:numId w:val="0"/>
              </w:numPr>
              <w:spacing w:line="360" w:lineRule="auto"/>
              <w:jc w:val="center"/>
              <w:rPr>
                <w:rFonts w:hint="default"/>
                <w:sz w:val="24"/>
                <w:szCs w:val="24"/>
                <w:vertAlign w:val="baseline"/>
                <w:lang w:val="en-US" w:eastAsia="zh-CN"/>
              </w:rPr>
            </w:pPr>
            <w:r>
              <w:rPr>
                <w:rFonts w:hint="eastAsia"/>
                <w:sz w:val="24"/>
                <w:szCs w:val="24"/>
                <w:vertAlign w:val="baseline"/>
                <w:lang w:val="en-US" w:eastAsia="zh-CN"/>
              </w:rPr>
              <w:t>14:30-17:30</w:t>
            </w:r>
          </w:p>
        </w:tc>
        <w:tc>
          <w:tcPr>
            <w:tcW w:w="2625" w:type="dxa"/>
            <w:vMerge w:val="continue"/>
          </w:tcPr>
          <w:p>
            <w:pPr>
              <w:numPr>
                <w:ilvl w:val="0"/>
                <w:numId w:val="0"/>
              </w:numPr>
              <w:spacing w:line="360" w:lineRule="auto"/>
              <w:jc w:val="left"/>
              <w:rPr>
                <w:rFonts w:hint="default"/>
                <w:sz w:val="24"/>
                <w:szCs w:val="24"/>
                <w:vertAlign w:val="baseline"/>
                <w:lang w:val="en-US" w:eastAsia="zh-CN"/>
              </w:rPr>
            </w:pPr>
          </w:p>
        </w:tc>
        <w:tc>
          <w:tcPr>
            <w:tcW w:w="3036" w:type="dxa"/>
          </w:tcPr>
          <w:p>
            <w:pPr>
              <w:numPr>
                <w:ilvl w:val="0"/>
                <w:numId w:val="0"/>
              </w:numPr>
              <w:spacing w:line="360" w:lineRule="auto"/>
              <w:jc w:val="left"/>
              <w:rPr>
                <w:rFonts w:hint="default"/>
                <w:sz w:val="24"/>
                <w:szCs w:val="24"/>
                <w:vertAlign w:val="baseline"/>
                <w:lang w:val="en-US" w:eastAsia="zh-CN"/>
              </w:rPr>
            </w:pPr>
            <w:r>
              <w:rPr>
                <w:rFonts w:hint="eastAsia"/>
                <w:sz w:val="24"/>
                <w:szCs w:val="24"/>
                <w:vertAlign w:val="baseline"/>
                <w:lang w:val="en-US" w:eastAsia="zh-CN"/>
              </w:rPr>
              <w:t>学生与国外院校代表一对一面试（3小时）</w:t>
            </w:r>
          </w:p>
        </w:tc>
      </w:tr>
    </w:tbl>
    <w:p>
      <w:pPr>
        <w:numPr>
          <w:ilvl w:val="0"/>
          <w:numId w:val="0"/>
        </w:numPr>
        <w:spacing w:line="360" w:lineRule="auto"/>
        <w:ind w:leftChars="0"/>
        <w:jc w:val="left"/>
        <w:rPr>
          <w:rFonts w:hint="default"/>
          <w:sz w:val="24"/>
          <w:szCs w:val="24"/>
          <w:lang w:val="en-US" w:eastAsia="zh-CN"/>
        </w:rPr>
      </w:pPr>
      <w:r>
        <w:rPr>
          <w:rFonts w:hint="eastAsia"/>
          <w:sz w:val="24"/>
          <w:szCs w:val="24"/>
          <w:lang w:val="en-US" w:eastAsia="zh-CN"/>
        </w:rPr>
        <w:t>联系人：李嫦娟   邮箱：</w:t>
      </w:r>
      <w:r>
        <w:rPr>
          <w:rFonts w:hint="eastAsia"/>
          <w:sz w:val="24"/>
          <w:szCs w:val="24"/>
          <w:lang w:val="en-US" w:eastAsia="zh-CN"/>
        </w:rPr>
        <w:fldChar w:fldCharType="begin"/>
      </w:r>
      <w:r>
        <w:rPr>
          <w:rFonts w:hint="eastAsia"/>
          <w:sz w:val="24"/>
          <w:szCs w:val="24"/>
          <w:lang w:val="en-US" w:eastAsia="zh-CN"/>
        </w:rPr>
        <w:instrText xml:space="preserve"> HYPERLINK "mailto:lichangjuan@nankai.edu.cn" </w:instrText>
      </w:r>
      <w:r>
        <w:rPr>
          <w:rFonts w:hint="eastAsia"/>
          <w:sz w:val="24"/>
          <w:szCs w:val="24"/>
          <w:lang w:val="en-US" w:eastAsia="zh-CN"/>
        </w:rPr>
        <w:fldChar w:fldCharType="separate"/>
      </w:r>
      <w:r>
        <w:rPr>
          <w:rStyle w:val="5"/>
          <w:rFonts w:hint="eastAsia"/>
          <w:sz w:val="24"/>
          <w:szCs w:val="24"/>
          <w:lang w:val="en-US" w:eastAsia="zh-CN"/>
        </w:rPr>
        <w:t>lichangjuan@nankai.edu.cn</w:t>
      </w:r>
      <w:r>
        <w:rPr>
          <w:rFonts w:hint="eastAsia"/>
          <w:sz w:val="24"/>
          <w:szCs w:val="24"/>
          <w:lang w:val="en-US" w:eastAsia="zh-CN"/>
        </w:rPr>
        <w:fldChar w:fldCharType="end"/>
      </w:r>
      <w:r>
        <w:rPr>
          <w:rFonts w:hint="eastAsia"/>
          <w:sz w:val="24"/>
          <w:szCs w:val="24"/>
          <w:lang w:val="en-US" w:eastAsia="zh-CN"/>
        </w:rPr>
        <w:t xml:space="preserve"> 电话：23502033</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附件：</w:t>
      </w:r>
    </w:p>
    <w:p>
      <w:pPr>
        <w:numPr>
          <w:ilvl w:val="0"/>
          <w:numId w:val="0"/>
        </w:numPr>
        <w:spacing w:line="360" w:lineRule="auto"/>
        <w:ind w:leftChars="0" w:firstLine="420" w:firstLineChars="0"/>
        <w:jc w:val="left"/>
        <w:rPr>
          <w:rFonts w:hint="eastAsia"/>
          <w:sz w:val="24"/>
          <w:szCs w:val="24"/>
          <w:lang w:val="en-US" w:eastAsia="zh-CN"/>
        </w:rPr>
      </w:pPr>
      <w:r>
        <w:rPr>
          <w:rFonts w:hint="eastAsia"/>
          <w:sz w:val="24"/>
          <w:szCs w:val="24"/>
          <w:lang w:val="en-US" w:eastAsia="zh-CN"/>
        </w:rPr>
        <w:t>国外院校名单及时间安排</w:t>
      </w:r>
    </w:p>
    <w:p>
      <w:pPr>
        <w:numPr>
          <w:ilvl w:val="0"/>
          <w:numId w:val="0"/>
        </w:numPr>
        <w:spacing w:line="360" w:lineRule="auto"/>
        <w:ind w:leftChars="0"/>
        <w:jc w:val="left"/>
        <w:rPr>
          <w:rFonts w:hint="eastAsia"/>
          <w:sz w:val="24"/>
          <w:szCs w:val="24"/>
          <w:lang w:val="en-US" w:eastAsia="zh-CN"/>
        </w:rPr>
      </w:pPr>
    </w:p>
    <w:p>
      <w:pPr>
        <w:numPr>
          <w:ilvl w:val="0"/>
          <w:numId w:val="0"/>
        </w:numPr>
        <w:spacing w:line="360" w:lineRule="auto"/>
        <w:ind w:leftChars="0"/>
        <w:jc w:val="right"/>
        <w:rPr>
          <w:rFonts w:hint="eastAsia"/>
          <w:sz w:val="24"/>
          <w:szCs w:val="24"/>
          <w:lang w:val="en-US" w:eastAsia="zh-CN"/>
        </w:rPr>
      </w:pPr>
      <w:r>
        <w:rPr>
          <w:rFonts w:hint="eastAsia"/>
          <w:sz w:val="24"/>
          <w:szCs w:val="24"/>
          <w:lang w:val="en-US" w:eastAsia="zh-CN"/>
        </w:rPr>
        <w:t>研究生院</w:t>
      </w:r>
    </w:p>
    <w:p>
      <w:pPr>
        <w:numPr>
          <w:ilvl w:val="0"/>
          <w:numId w:val="0"/>
        </w:numPr>
        <w:spacing w:line="360" w:lineRule="auto"/>
        <w:ind w:leftChars="0"/>
        <w:jc w:val="right"/>
        <w:rPr>
          <w:rFonts w:hint="default"/>
          <w:sz w:val="24"/>
          <w:szCs w:val="24"/>
          <w:lang w:val="en-US" w:eastAsia="zh-CN"/>
        </w:rPr>
      </w:pPr>
      <w:r>
        <w:rPr>
          <w:rFonts w:hint="eastAsia"/>
          <w:sz w:val="24"/>
          <w:szCs w:val="24"/>
          <w:lang w:val="en-US" w:eastAsia="zh-CN"/>
        </w:rPr>
        <w:t>2021年9月14日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A9D9E"/>
    <w:multiLevelType w:val="singleLevel"/>
    <w:tmpl w:val="8CDA9D9E"/>
    <w:lvl w:ilvl="0" w:tentative="0">
      <w:start w:val="1"/>
      <w:numFmt w:val="decimal"/>
      <w:suff w:val="space"/>
      <w:lvlText w:val="%1."/>
      <w:lvlJc w:val="left"/>
    </w:lvl>
  </w:abstractNum>
  <w:abstractNum w:abstractNumId="1">
    <w:nsid w:val="20B6B792"/>
    <w:multiLevelType w:val="singleLevel"/>
    <w:tmpl w:val="20B6B792"/>
    <w:lvl w:ilvl="0" w:tentative="0">
      <w:start w:val="1"/>
      <w:numFmt w:val="chineseCounting"/>
      <w:suff w:val="nothing"/>
      <w:lvlText w:val="（%1）"/>
      <w:lvlJc w:val="left"/>
      <w:pPr>
        <w:ind w:left="420"/>
      </w:pPr>
      <w:rPr>
        <w:rFonts w:hint="eastAsia"/>
      </w:rPr>
    </w:lvl>
  </w:abstractNum>
  <w:abstractNum w:abstractNumId="2">
    <w:nsid w:val="29C5A4C0"/>
    <w:multiLevelType w:val="singleLevel"/>
    <w:tmpl w:val="29C5A4C0"/>
    <w:lvl w:ilvl="0" w:tentative="0">
      <w:start w:val="1"/>
      <w:numFmt w:val="decimal"/>
      <w:suff w:val="space"/>
      <w:lvlText w:val="%1."/>
      <w:lvlJc w:val="left"/>
    </w:lvl>
  </w:abstractNum>
  <w:abstractNum w:abstractNumId="3">
    <w:nsid w:val="5ED8E1E7"/>
    <w:multiLevelType w:val="singleLevel"/>
    <w:tmpl w:val="5ED8E1E7"/>
    <w:lvl w:ilvl="0" w:tentative="0">
      <w:start w:val="1"/>
      <w:numFmt w:val="decimal"/>
      <w:suff w:val="space"/>
      <w:lvlText w:val="%1."/>
      <w:lvlJc w:val="left"/>
    </w:lvl>
  </w:abstractNum>
  <w:abstractNum w:abstractNumId="4">
    <w:nsid w:val="65AC5906"/>
    <w:multiLevelType w:val="singleLevel"/>
    <w:tmpl w:val="65AC5906"/>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5760D"/>
    <w:rsid w:val="4A412903"/>
    <w:rsid w:val="56573924"/>
    <w:rsid w:val="5CDF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2021-09-14T01:45:00Z</dcterms:created>
  <dc:creator>licj</dc:creator>
  <cp:lastModifiedBy>licj</cp:lastModifiedBy>
  <dcterms:modified xsi:type="dcterms:W3CDTF">2021-09-14T03:37:28Z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97B8B9B3802946478C1C8185722F1A63</vt:lpwstr>
  </property>
</Properties>
</file>