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highlight w:val="none"/>
        </w:rPr>
      </w:pPr>
      <w:r>
        <w:rPr>
          <w:b/>
          <w:bCs/>
          <w:sz w:val="28"/>
          <w:szCs w:val="28"/>
          <w:highlight w:val="none"/>
        </w:rPr>
        <w:t>化学学院</w:t>
      </w:r>
      <w:r>
        <w:rPr>
          <w:rFonts w:hint="eastAsia"/>
          <w:b/>
          <w:bCs/>
          <w:sz w:val="28"/>
          <w:szCs w:val="28"/>
          <w:highlight w:val="none"/>
        </w:rPr>
        <w:t>推荐优秀应届本科毕业生免试攻读研究生工作细则</w:t>
      </w:r>
    </w:p>
    <w:p>
      <w:pPr>
        <w:spacing w:line="120" w:lineRule="exact"/>
        <w:ind w:firstLine="482" w:firstLineChars="200"/>
        <w:rPr>
          <w:b/>
          <w:bCs/>
          <w:sz w:val="24"/>
          <w:highlight w:val="none"/>
        </w:rPr>
      </w:pP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 xml:space="preserve">根据教育部相关文件以及《南开大学推荐优秀应届本科毕业生免试攻读研究 </w:t>
      </w:r>
    </w:p>
    <w:p>
      <w:pPr>
        <w:spacing w:line="360" w:lineRule="auto"/>
        <w:rPr>
          <w:rFonts w:ascii="宋体" w:hAnsi="宋体" w:eastAsia="宋体" w:cs="宋体"/>
          <w:sz w:val="24"/>
          <w:highlight w:val="none"/>
        </w:rPr>
      </w:pPr>
      <w:r>
        <w:rPr>
          <w:rFonts w:hint="eastAsia" w:ascii="宋体" w:hAnsi="宋体" w:eastAsia="宋体" w:cs="宋体"/>
          <w:sz w:val="24"/>
          <w:highlight w:val="none"/>
        </w:rPr>
        <w:t>生工作实施办法》，结合化学学院具体情况，制定化学学院推荐优秀应届本科毕业生免试攻读研究生工作细则，如下：</w:t>
      </w:r>
    </w:p>
    <w:p>
      <w:pPr>
        <w:spacing w:line="360" w:lineRule="auto"/>
        <w:ind w:firstLine="480" w:firstLineChars="200"/>
        <w:rPr>
          <w:rFonts w:hAnsi="宋体"/>
          <w:sz w:val="24"/>
          <w:highlight w:val="none"/>
        </w:rPr>
      </w:pPr>
      <w:r>
        <w:rPr>
          <w:rFonts w:hint="eastAsia" w:hAnsi="宋体"/>
          <w:sz w:val="24"/>
          <w:highlight w:val="none"/>
        </w:rPr>
        <w:t>1. 申请免试推荐的学生应具备的基本条件：</w:t>
      </w:r>
    </w:p>
    <w:p>
      <w:pPr>
        <w:spacing w:line="360" w:lineRule="auto"/>
        <w:ind w:firstLine="480" w:firstLineChars="200"/>
        <w:rPr>
          <w:rFonts w:hAnsi="宋体"/>
          <w:sz w:val="24"/>
          <w:highlight w:val="none"/>
        </w:rPr>
      </w:pPr>
      <w:r>
        <w:rPr>
          <w:rFonts w:hint="eastAsia" w:hAnsi="宋体"/>
          <w:sz w:val="24"/>
          <w:highlight w:val="none"/>
        </w:rPr>
        <w:t>（1）按正常教学计划修满</w:t>
      </w:r>
      <w:r>
        <w:rPr>
          <w:rFonts w:hint="eastAsia" w:hAnsi="宋体"/>
          <w:b/>
          <w:sz w:val="24"/>
          <w:highlight w:val="none"/>
        </w:rPr>
        <w:t>必修课程</w:t>
      </w:r>
      <w:r>
        <w:rPr>
          <w:rFonts w:hint="eastAsia" w:hAnsi="宋体"/>
          <w:sz w:val="24"/>
          <w:highlight w:val="none"/>
        </w:rPr>
        <w:t>和化学学院各专业</w:t>
      </w:r>
      <w:r>
        <w:rPr>
          <w:rFonts w:hint="eastAsia" w:hAnsi="宋体"/>
          <w:b/>
          <w:sz w:val="24"/>
          <w:highlight w:val="none"/>
        </w:rPr>
        <w:t>指定专业选修课程</w:t>
      </w:r>
      <w:r>
        <w:rPr>
          <w:rFonts w:hAnsi="宋体"/>
          <w:sz w:val="24"/>
          <w:highlight w:val="none"/>
        </w:rPr>
        <w:t>，没有受过学校处分</w:t>
      </w:r>
      <w:r>
        <w:rPr>
          <w:rFonts w:hint="eastAsia" w:hAnsi="宋体"/>
          <w:sz w:val="24"/>
          <w:highlight w:val="none"/>
        </w:rPr>
        <w:t>。</w:t>
      </w:r>
    </w:p>
    <w:p>
      <w:pPr>
        <w:spacing w:line="360" w:lineRule="auto"/>
        <w:ind w:firstLine="480" w:firstLineChars="200"/>
        <w:rPr>
          <w:rFonts w:hAnsi="宋体"/>
          <w:sz w:val="24"/>
          <w:highlight w:val="none"/>
        </w:rPr>
      </w:pPr>
      <w:r>
        <w:rPr>
          <w:rFonts w:hint="eastAsia" w:hAnsi="宋体"/>
          <w:sz w:val="24"/>
          <w:highlight w:val="none"/>
        </w:rPr>
        <w:t>（2）必修课（通识必修课、大类基础课、专业必修课）平均学分绩（只计算学生在我校修读课程的成绩）排名应在本专业本年级具有我校学籍学生的前 70%以内（以排序时在校正式学籍学生数为基准）。</w:t>
      </w:r>
    </w:p>
    <w:p>
      <w:pPr>
        <w:spacing w:line="360" w:lineRule="auto"/>
        <w:ind w:firstLine="480" w:firstLineChars="200"/>
        <w:rPr>
          <w:sz w:val="24"/>
          <w:highlight w:val="none"/>
        </w:rPr>
      </w:pPr>
      <w:r>
        <w:rPr>
          <w:rFonts w:hint="eastAsia" w:hAnsi="宋体"/>
          <w:sz w:val="24"/>
          <w:highlight w:val="none"/>
        </w:rPr>
        <w:t>2. 伯苓班学生不受学分绩专业排名前70%的限制，由化学学院推免生遴选工作领导小组讨论决定其推免资格。</w:t>
      </w:r>
    </w:p>
    <w:p>
      <w:pPr>
        <w:spacing w:line="360" w:lineRule="auto"/>
        <w:ind w:firstLine="480" w:firstLineChars="200"/>
        <w:rPr>
          <w:rFonts w:hAnsi="宋体"/>
          <w:sz w:val="24"/>
          <w:highlight w:val="none"/>
        </w:rPr>
      </w:pPr>
      <w:r>
        <w:rPr>
          <w:rFonts w:hint="eastAsia" w:hAnsi="宋体"/>
          <w:sz w:val="24"/>
          <w:highlight w:val="none"/>
        </w:rPr>
        <w:t>3. 所有申请免试推荐的学生</w:t>
      </w:r>
      <w:r>
        <w:rPr>
          <w:rFonts w:hAnsi="宋体"/>
          <w:sz w:val="24"/>
          <w:highlight w:val="none"/>
        </w:rPr>
        <w:t>都必须参加化学学院组织的综合素质考核。综合成绩中三年必修课</w:t>
      </w:r>
      <w:r>
        <w:rPr>
          <w:rFonts w:hint="eastAsia" w:hAnsi="宋体"/>
          <w:sz w:val="24"/>
          <w:highlight w:val="none"/>
        </w:rPr>
        <w:t>（通识必修课、大类基础课、专业必修课）</w:t>
      </w:r>
      <w:r>
        <w:rPr>
          <w:rFonts w:hAnsi="宋体"/>
          <w:sz w:val="24"/>
          <w:highlight w:val="none"/>
        </w:rPr>
        <w:t>平均学分绩占</w:t>
      </w:r>
      <w:r>
        <w:rPr>
          <w:rFonts w:hint="eastAsia"/>
          <w:b/>
          <w:sz w:val="24"/>
          <w:highlight w:val="none"/>
        </w:rPr>
        <w:t>95</w:t>
      </w:r>
      <w:r>
        <w:rPr>
          <w:sz w:val="24"/>
          <w:highlight w:val="none"/>
        </w:rPr>
        <w:t>%</w:t>
      </w:r>
      <w:r>
        <w:rPr>
          <w:rFonts w:hAnsi="宋体"/>
          <w:sz w:val="24"/>
          <w:highlight w:val="none"/>
        </w:rPr>
        <w:t>，综合素质考核占</w:t>
      </w:r>
      <w:r>
        <w:rPr>
          <w:rFonts w:hint="eastAsia"/>
          <w:b/>
          <w:sz w:val="24"/>
          <w:highlight w:val="none"/>
        </w:rPr>
        <w:t>5</w:t>
      </w:r>
      <w:r>
        <w:rPr>
          <w:sz w:val="24"/>
          <w:highlight w:val="none"/>
        </w:rPr>
        <w:t>%</w:t>
      </w:r>
      <w:r>
        <w:rPr>
          <w:rFonts w:hint="eastAsia"/>
          <w:sz w:val="24"/>
          <w:highlight w:val="none"/>
        </w:rPr>
        <w:t>（特殊学术专长30%、科研训练表现40%、英语水平20%，参军入伍服兵役10%），</w:t>
      </w:r>
      <w:r>
        <w:rPr>
          <w:rFonts w:hAnsi="宋体"/>
          <w:sz w:val="24"/>
          <w:highlight w:val="none"/>
        </w:rPr>
        <w:t>按综合成绩</w:t>
      </w:r>
      <w:r>
        <w:rPr>
          <w:rFonts w:hint="eastAsia" w:hAnsi="宋体"/>
          <w:sz w:val="24"/>
          <w:highlight w:val="none"/>
        </w:rPr>
        <w:t>的高低，各专业单独进行综合</w:t>
      </w:r>
      <w:r>
        <w:rPr>
          <w:rFonts w:hAnsi="宋体"/>
          <w:sz w:val="24"/>
          <w:highlight w:val="none"/>
        </w:rPr>
        <w:t>排名。</w:t>
      </w:r>
    </w:p>
    <w:p>
      <w:pPr>
        <w:spacing w:line="360" w:lineRule="auto"/>
        <w:ind w:firstLine="480" w:firstLineChars="200"/>
        <w:rPr>
          <w:rFonts w:hAnsi="宋体"/>
          <w:sz w:val="24"/>
          <w:highlight w:val="none"/>
        </w:rPr>
      </w:pPr>
      <w:r>
        <w:rPr>
          <w:rFonts w:hint="eastAsia" w:hAnsi="宋体"/>
          <w:sz w:val="24"/>
          <w:highlight w:val="none"/>
        </w:rPr>
        <w:t>4. 推免生</w:t>
      </w:r>
      <w:r>
        <w:rPr>
          <w:rFonts w:hint="eastAsia" w:hAnsi="宋体"/>
          <w:sz w:val="24"/>
          <w:highlight w:val="none"/>
          <w:lang w:val="en-US" w:eastAsia="zh-CN"/>
        </w:rPr>
        <w:t>特殊学</w:t>
      </w:r>
      <w:r>
        <w:rPr>
          <w:rFonts w:hint="eastAsia" w:hAnsi="宋体"/>
          <w:sz w:val="24"/>
          <w:highlight w:val="none"/>
        </w:rPr>
        <w:t>术专长审核办法：学院专家审核小组负责审定学生的特殊学术专长，对申请推免学生的特殊学术专长进行鉴定，排除抄袭、造假、冒名及有名无实等情况，并组织相关学生公开答辩。对学生提交的多篇科研成果实行代表作评价，评价重点聚焦到创新质量和个人贡献。</w:t>
      </w:r>
    </w:p>
    <w:p>
      <w:pPr>
        <w:spacing w:line="360" w:lineRule="auto"/>
        <w:ind w:firstLine="480" w:firstLineChars="200"/>
        <w:rPr>
          <w:rFonts w:hAnsi="宋体"/>
          <w:sz w:val="24"/>
          <w:highlight w:val="none"/>
        </w:rPr>
      </w:pPr>
      <w:r>
        <w:rPr>
          <w:rFonts w:hint="eastAsia" w:hAnsi="宋体"/>
          <w:sz w:val="24"/>
          <w:highlight w:val="none"/>
        </w:rPr>
        <w:t>5. 科研训练表现审核办法：学院专家审核小组负责审定学生的科研训练表现，对申请推免学生的科研训练表现进行鉴定，审核学生科研训练时长、表现、成果等相关证明材料，对学生的科研训练综合表现评价，并给出科研训练表现得分。</w:t>
      </w:r>
    </w:p>
    <w:p>
      <w:pPr>
        <w:spacing w:line="360" w:lineRule="auto"/>
        <w:ind w:firstLine="480" w:firstLineChars="200"/>
        <w:rPr>
          <w:sz w:val="24"/>
          <w:highlight w:val="none"/>
        </w:rPr>
      </w:pPr>
      <w:r>
        <w:rPr>
          <w:rFonts w:hint="eastAsia" w:hAnsi="宋体"/>
          <w:sz w:val="24"/>
          <w:highlight w:val="none"/>
        </w:rPr>
        <w:t xml:space="preserve">6. </w:t>
      </w:r>
      <w:r>
        <w:rPr>
          <w:rFonts w:hAnsi="宋体"/>
          <w:sz w:val="24"/>
          <w:highlight w:val="none"/>
        </w:rPr>
        <w:t>每年根据学校下达的推荐名额，</w:t>
      </w:r>
      <w:r>
        <w:rPr>
          <w:rFonts w:hAnsi="宋体"/>
          <w:kern w:val="0"/>
          <w:sz w:val="24"/>
          <w:highlight w:val="none"/>
        </w:rPr>
        <w:t>优先保证伯苓班</w:t>
      </w:r>
      <w:r>
        <w:rPr>
          <w:rFonts w:hint="eastAsia" w:hAnsi="宋体"/>
          <w:kern w:val="0"/>
          <w:sz w:val="24"/>
          <w:highlight w:val="none"/>
        </w:rPr>
        <w:t>、分子科学与工程专业，</w:t>
      </w:r>
      <w:r>
        <w:rPr>
          <w:rFonts w:hAnsi="宋体"/>
          <w:kern w:val="0"/>
          <w:sz w:val="24"/>
          <w:highlight w:val="none"/>
        </w:rPr>
        <w:t>剩余</w:t>
      </w:r>
      <w:r>
        <w:rPr>
          <w:rFonts w:hint="eastAsia" w:hAnsi="宋体"/>
          <w:kern w:val="0"/>
          <w:sz w:val="24"/>
          <w:highlight w:val="none"/>
        </w:rPr>
        <w:t>名额</w:t>
      </w:r>
      <w:r>
        <w:rPr>
          <w:rFonts w:hAnsi="宋体"/>
          <w:kern w:val="0"/>
          <w:sz w:val="24"/>
          <w:highlight w:val="none"/>
        </w:rPr>
        <w:t>按</w:t>
      </w:r>
      <w:r>
        <w:rPr>
          <w:rFonts w:hint="eastAsia" w:hAnsi="宋体"/>
          <w:kern w:val="0"/>
          <w:sz w:val="24"/>
          <w:highlight w:val="none"/>
        </w:rPr>
        <w:t>各专业</w:t>
      </w:r>
      <w:r>
        <w:rPr>
          <w:rFonts w:hAnsi="宋体"/>
          <w:kern w:val="0"/>
          <w:sz w:val="24"/>
          <w:highlight w:val="none"/>
        </w:rPr>
        <w:t>学生人数的比例分配</w:t>
      </w:r>
      <w:r>
        <w:rPr>
          <w:rFonts w:hint="eastAsia" w:hAnsi="宋体"/>
          <w:kern w:val="0"/>
          <w:sz w:val="24"/>
          <w:highlight w:val="none"/>
        </w:rPr>
        <w:t>到各专业。</w:t>
      </w:r>
      <w:r>
        <w:rPr>
          <w:rFonts w:hint="eastAsia" w:hAnsi="宋体"/>
          <w:sz w:val="24"/>
          <w:highlight w:val="none"/>
        </w:rPr>
        <w:t>各专业按综合</w:t>
      </w:r>
      <w:r>
        <w:rPr>
          <w:rFonts w:hAnsi="宋体"/>
          <w:sz w:val="24"/>
          <w:highlight w:val="none"/>
        </w:rPr>
        <w:t>排名</w:t>
      </w:r>
      <w:r>
        <w:rPr>
          <w:rFonts w:hint="eastAsia" w:hAnsi="宋体"/>
          <w:sz w:val="24"/>
          <w:highlight w:val="none"/>
        </w:rPr>
        <w:t>依次确定推荐名单</w:t>
      </w:r>
      <w:r>
        <w:rPr>
          <w:rFonts w:hAnsi="宋体"/>
          <w:sz w:val="24"/>
          <w:highlight w:val="none"/>
        </w:rPr>
        <w:t>。如有弃权，名额顺延。</w:t>
      </w:r>
      <w:r>
        <w:rPr>
          <w:rFonts w:hint="eastAsia" w:hAnsi="宋体"/>
          <w:sz w:val="24"/>
          <w:highlight w:val="none"/>
        </w:rPr>
        <w:t>对于各专业剩余名额、定向补偿名额以及后面追加的名额，剩余学生不分专业按综合成绩混合排名，依次选择。</w:t>
      </w:r>
    </w:p>
    <w:p>
      <w:pPr>
        <w:spacing w:line="360" w:lineRule="auto"/>
        <w:ind w:firstLine="480" w:firstLineChars="200"/>
        <w:rPr>
          <w:rFonts w:hAnsi="宋体"/>
          <w:sz w:val="24"/>
          <w:highlight w:val="none"/>
        </w:rPr>
      </w:pPr>
      <w:r>
        <w:rPr>
          <w:rFonts w:hint="eastAsia" w:hAnsi="宋体"/>
          <w:sz w:val="24"/>
          <w:highlight w:val="none"/>
          <w:lang w:val="en-US" w:eastAsia="zh-CN"/>
        </w:rPr>
        <w:t>7</w:t>
      </w:r>
      <w:r>
        <w:rPr>
          <w:rFonts w:hint="eastAsia" w:hAnsi="宋体"/>
          <w:sz w:val="24"/>
          <w:highlight w:val="none"/>
        </w:rPr>
        <w:t>. 为了保证选择保外的学生能够被接收单位顺利录取，并省去复试环节，鼓励学生尽量通过英语六级，参加接收单位举行的夏令营并获得优秀营员资格。</w:t>
      </w:r>
    </w:p>
    <w:p>
      <w:pPr>
        <w:spacing w:line="360" w:lineRule="auto"/>
        <w:ind w:firstLine="480" w:firstLineChars="200"/>
        <w:rPr>
          <w:sz w:val="24"/>
          <w:highlight w:val="none"/>
        </w:rPr>
      </w:pPr>
      <w:r>
        <w:rPr>
          <w:rFonts w:hint="eastAsia" w:hAnsi="宋体"/>
          <w:sz w:val="24"/>
          <w:highlight w:val="none"/>
          <w:lang w:val="en-US" w:eastAsia="zh-CN"/>
        </w:rPr>
        <w:t>8</w:t>
      </w:r>
      <w:r>
        <w:rPr>
          <w:rFonts w:hint="eastAsia" w:hAnsi="宋体"/>
          <w:sz w:val="24"/>
          <w:highlight w:val="none"/>
        </w:rPr>
        <w:t xml:space="preserve">. </w:t>
      </w:r>
      <w:r>
        <w:rPr>
          <w:rFonts w:hAnsi="宋体"/>
          <w:sz w:val="24"/>
          <w:highlight w:val="none"/>
        </w:rPr>
        <w:t>学生</w:t>
      </w:r>
      <w:r>
        <w:rPr>
          <w:rFonts w:hint="eastAsia" w:hAnsi="宋体"/>
          <w:sz w:val="24"/>
          <w:highlight w:val="none"/>
        </w:rPr>
        <w:t>获得</w:t>
      </w:r>
      <w:r>
        <w:rPr>
          <w:rFonts w:hAnsi="宋体"/>
          <w:sz w:val="24"/>
          <w:highlight w:val="none"/>
        </w:rPr>
        <w:t>免试推荐</w:t>
      </w:r>
      <w:r>
        <w:rPr>
          <w:rFonts w:hint="eastAsia" w:hAnsi="宋体"/>
          <w:sz w:val="24"/>
          <w:highlight w:val="none"/>
        </w:rPr>
        <w:t>资格后</w:t>
      </w:r>
      <w:r>
        <w:rPr>
          <w:rFonts w:hAnsi="宋体"/>
          <w:sz w:val="24"/>
          <w:highlight w:val="none"/>
        </w:rPr>
        <w:t>，</w:t>
      </w:r>
      <w:r>
        <w:rPr>
          <w:rFonts w:hint="eastAsia" w:hAnsi="宋体"/>
          <w:sz w:val="24"/>
          <w:highlight w:val="none"/>
        </w:rPr>
        <w:t>一旦</w:t>
      </w:r>
      <w:r>
        <w:rPr>
          <w:rFonts w:hAnsi="宋体"/>
          <w:sz w:val="24"/>
          <w:highlight w:val="none"/>
        </w:rPr>
        <w:t>签字</w:t>
      </w:r>
      <w:r>
        <w:rPr>
          <w:rFonts w:hint="eastAsia" w:hAnsi="宋体"/>
          <w:sz w:val="24"/>
          <w:highlight w:val="none"/>
        </w:rPr>
        <w:t>确认</w:t>
      </w:r>
      <w:r>
        <w:rPr>
          <w:rFonts w:hAnsi="宋体"/>
          <w:sz w:val="24"/>
          <w:highlight w:val="none"/>
        </w:rPr>
        <w:t>不得以任何理由放弃保送名额。</w:t>
      </w:r>
    </w:p>
    <w:p>
      <w:pPr>
        <w:spacing w:line="360" w:lineRule="auto"/>
        <w:ind w:firstLine="480" w:firstLineChars="200"/>
        <w:rPr>
          <w:rFonts w:hAnsi="宋体"/>
          <w:sz w:val="24"/>
          <w:highlight w:val="none"/>
        </w:rPr>
      </w:pPr>
      <w:r>
        <w:rPr>
          <w:rFonts w:hint="eastAsia" w:hAnsi="宋体"/>
          <w:sz w:val="24"/>
          <w:highlight w:val="none"/>
          <w:lang w:val="en-US" w:eastAsia="zh-CN"/>
        </w:rPr>
        <w:t>9</w:t>
      </w:r>
      <w:r>
        <w:rPr>
          <w:rFonts w:hint="eastAsia" w:hAnsi="宋体"/>
          <w:sz w:val="24"/>
          <w:highlight w:val="none"/>
        </w:rPr>
        <w:t>. 其他未列出的情况，参照</w:t>
      </w:r>
      <w:r>
        <w:rPr>
          <w:rFonts w:hint="eastAsia" w:ascii="宋体" w:hAnsi="宋体" w:eastAsia="宋体" w:cs="宋体"/>
          <w:sz w:val="24"/>
          <w:highlight w:val="none"/>
        </w:rPr>
        <w:t>《南开大学推荐优秀应届本科毕业生免试攻读硕士学位研究生工作实施办法》</w:t>
      </w:r>
      <w:r>
        <w:rPr>
          <w:rFonts w:hint="eastAsia" w:hAnsi="宋体"/>
          <w:sz w:val="24"/>
          <w:highlight w:val="none"/>
        </w:rPr>
        <w:t>文件执行。</w:t>
      </w:r>
    </w:p>
    <w:p>
      <w:pPr>
        <w:spacing w:line="360" w:lineRule="auto"/>
        <w:ind w:firstLine="480" w:firstLineChars="200"/>
        <w:rPr>
          <w:rFonts w:hAnsi="宋体"/>
          <w:sz w:val="24"/>
          <w:highlight w:val="none"/>
        </w:rPr>
      </w:pPr>
      <w:r>
        <w:rPr>
          <w:rFonts w:hint="eastAsia" w:hAnsi="宋体"/>
          <w:sz w:val="24"/>
          <w:highlight w:val="none"/>
          <w:lang w:val="en-US" w:eastAsia="zh-CN"/>
        </w:rPr>
        <w:t>10</w:t>
      </w:r>
      <w:r>
        <w:rPr>
          <w:rFonts w:hint="eastAsia" w:hAnsi="宋体"/>
          <w:sz w:val="24"/>
          <w:highlight w:val="none"/>
        </w:rPr>
        <w:t xml:space="preserve">. </w:t>
      </w:r>
      <w:r>
        <w:rPr>
          <w:rFonts w:hAnsi="宋体"/>
          <w:sz w:val="24"/>
          <w:highlight w:val="none"/>
        </w:rPr>
        <w:t>本细则解释权归化学学院。</w:t>
      </w:r>
    </w:p>
    <w:p>
      <w:pPr>
        <w:spacing w:line="360" w:lineRule="auto"/>
        <w:ind w:firstLine="480" w:firstLineChars="200"/>
        <w:rPr>
          <w:bCs/>
          <w:sz w:val="24"/>
          <w:highlight w:val="none"/>
        </w:rPr>
      </w:pPr>
    </w:p>
    <w:p>
      <w:pPr>
        <w:spacing w:line="360" w:lineRule="auto"/>
        <w:ind w:right="-2" w:firstLine="4253"/>
        <w:jc w:val="right"/>
        <w:rPr>
          <w:bCs/>
          <w:sz w:val="24"/>
          <w:highlight w:val="none"/>
        </w:rPr>
      </w:pPr>
      <w:r>
        <w:rPr>
          <w:rFonts w:hAnsi="宋体"/>
          <w:bCs/>
          <w:sz w:val="24"/>
          <w:highlight w:val="none"/>
        </w:rPr>
        <w:t>化学学院</w:t>
      </w:r>
    </w:p>
    <w:p>
      <w:pPr>
        <w:spacing w:line="360" w:lineRule="auto"/>
        <w:ind w:firstLine="4253"/>
        <w:jc w:val="right"/>
        <w:rPr>
          <w:rFonts w:hAnsi="宋体"/>
          <w:bCs/>
          <w:sz w:val="24"/>
          <w:highlight w:val="none"/>
        </w:rPr>
      </w:pPr>
      <w:r>
        <w:rPr>
          <w:bCs/>
          <w:sz w:val="24"/>
          <w:highlight w:val="none"/>
        </w:rPr>
        <w:t>20</w:t>
      </w:r>
      <w:r>
        <w:rPr>
          <w:rFonts w:hint="eastAsia"/>
          <w:bCs/>
          <w:sz w:val="24"/>
          <w:highlight w:val="none"/>
        </w:rPr>
        <w:t>21</w:t>
      </w:r>
      <w:r>
        <w:rPr>
          <w:rFonts w:hAnsi="宋体"/>
          <w:bCs/>
          <w:sz w:val="24"/>
          <w:highlight w:val="none"/>
        </w:rPr>
        <w:t>年</w:t>
      </w:r>
      <w:r>
        <w:rPr>
          <w:rFonts w:hint="eastAsia"/>
          <w:bCs/>
          <w:sz w:val="24"/>
          <w:highlight w:val="none"/>
          <w:lang w:val="en-US" w:eastAsia="zh-CN"/>
        </w:rPr>
        <w:t>9</w:t>
      </w:r>
      <w:r>
        <w:rPr>
          <w:rFonts w:hAnsi="宋体"/>
          <w:bCs/>
          <w:sz w:val="24"/>
          <w:highlight w:val="none"/>
        </w:rPr>
        <w:t>月</w:t>
      </w:r>
      <w:r>
        <w:rPr>
          <w:rFonts w:hint="eastAsia"/>
          <w:bCs/>
          <w:sz w:val="24"/>
          <w:highlight w:val="none"/>
          <w:lang w:val="en-US" w:eastAsia="zh-CN"/>
        </w:rPr>
        <w:t>3</w:t>
      </w:r>
      <w:r>
        <w:rPr>
          <w:rFonts w:hAnsi="宋体"/>
          <w:bCs/>
          <w:sz w:val="24"/>
          <w:highlight w:val="none"/>
        </w:rPr>
        <w:t>日</w:t>
      </w:r>
    </w:p>
    <w:p>
      <w:pPr>
        <w:rPr>
          <w:b/>
          <w:bCs/>
          <w:sz w:val="36"/>
          <w:szCs w:val="36"/>
          <w:highlight w:val="none"/>
        </w:rPr>
      </w:pPr>
      <w:r>
        <w:rPr>
          <w:rFonts w:hint="eastAsia"/>
          <w:b/>
          <w:bCs/>
          <w:sz w:val="36"/>
          <w:szCs w:val="36"/>
          <w:highlight w:val="none"/>
        </w:rPr>
        <w:br w:type="page"/>
      </w:r>
    </w:p>
    <w:p>
      <w:pPr>
        <w:spacing w:line="360" w:lineRule="auto"/>
        <w:rPr>
          <w:b/>
          <w:bCs/>
          <w:sz w:val="36"/>
          <w:szCs w:val="36"/>
          <w:highlight w:val="none"/>
        </w:rPr>
      </w:pPr>
    </w:p>
    <w:p>
      <w:pPr>
        <w:spacing w:line="360" w:lineRule="auto"/>
        <w:jc w:val="center"/>
        <w:rPr>
          <w:b/>
          <w:bCs/>
          <w:sz w:val="36"/>
          <w:szCs w:val="36"/>
          <w:highlight w:val="none"/>
        </w:rPr>
      </w:pPr>
      <w:r>
        <w:rPr>
          <w:rFonts w:hint="eastAsia"/>
          <w:b/>
          <w:bCs/>
          <w:sz w:val="36"/>
          <w:szCs w:val="36"/>
          <w:highlight w:val="none"/>
        </w:rPr>
        <w:t>化学学院推免生遴选工作领导小组</w:t>
      </w:r>
    </w:p>
    <w:p>
      <w:pPr>
        <w:spacing w:line="360" w:lineRule="auto"/>
        <w:ind w:firstLine="420" w:firstLineChars="200"/>
        <w:rPr>
          <w:highlight w:val="none"/>
        </w:rPr>
      </w:pPr>
    </w:p>
    <w:p>
      <w:pPr>
        <w:spacing w:line="360" w:lineRule="auto"/>
        <w:ind w:firstLine="560" w:firstLineChars="200"/>
        <w:rPr>
          <w:sz w:val="28"/>
          <w:szCs w:val="28"/>
          <w:highlight w:val="none"/>
        </w:rPr>
      </w:pPr>
      <w:r>
        <w:rPr>
          <w:rFonts w:hint="eastAsia"/>
          <w:sz w:val="28"/>
          <w:szCs w:val="28"/>
          <w:highlight w:val="none"/>
        </w:rPr>
        <w:t>根据</w:t>
      </w:r>
      <w:r>
        <w:rPr>
          <w:rFonts w:hint="eastAsia" w:hAnsi="宋体"/>
          <w:sz w:val="28"/>
          <w:szCs w:val="28"/>
          <w:highlight w:val="none"/>
        </w:rPr>
        <w:t>《南开大学推荐优秀应届本科毕业生免试攻读研究生工作实施办法》</w:t>
      </w:r>
      <w:r>
        <w:rPr>
          <w:rFonts w:hint="eastAsia"/>
          <w:sz w:val="28"/>
          <w:szCs w:val="28"/>
          <w:highlight w:val="none"/>
        </w:rPr>
        <w:t>，化学学院成立推免生遴选工作领导小组，名单如下：</w:t>
      </w:r>
    </w:p>
    <w:p>
      <w:pPr>
        <w:spacing w:line="360" w:lineRule="auto"/>
        <w:ind w:firstLine="560" w:firstLineChars="200"/>
        <w:rPr>
          <w:sz w:val="28"/>
          <w:szCs w:val="28"/>
          <w:highlight w:val="none"/>
        </w:rPr>
      </w:pPr>
    </w:p>
    <w:p>
      <w:pPr>
        <w:spacing w:line="360" w:lineRule="auto"/>
        <w:ind w:firstLine="560" w:firstLineChars="200"/>
        <w:rPr>
          <w:bCs/>
          <w:sz w:val="28"/>
          <w:highlight w:val="none"/>
        </w:rPr>
      </w:pPr>
      <w:r>
        <w:rPr>
          <w:rFonts w:hint="eastAsia"/>
          <w:bCs/>
          <w:sz w:val="28"/>
          <w:highlight w:val="none"/>
        </w:rPr>
        <w:t>组长：朱守非</w:t>
      </w:r>
    </w:p>
    <w:p>
      <w:pPr>
        <w:spacing w:line="360" w:lineRule="auto"/>
        <w:ind w:firstLine="560" w:firstLineChars="200"/>
        <w:rPr>
          <w:bCs/>
          <w:sz w:val="28"/>
          <w:highlight w:val="none"/>
        </w:rPr>
      </w:pPr>
      <w:r>
        <w:rPr>
          <w:rFonts w:hint="eastAsia"/>
          <w:bCs/>
          <w:sz w:val="28"/>
          <w:highlight w:val="none"/>
        </w:rPr>
        <w:t>副组长：张守民  郭东升</w:t>
      </w:r>
    </w:p>
    <w:p>
      <w:pPr>
        <w:spacing w:line="360" w:lineRule="auto"/>
        <w:ind w:firstLine="560" w:firstLineChars="200"/>
        <w:rPr>
          <w:bCs/>
          <w:sz w:val="28"/>
          <w:highlight w:val="none"/>
        </w:rPr>
      </w:pPr>
      <w:r>
        <w:rPr>
          <w:rFonts w:hint="eastAsia"/>
          <w:bCs/>
          <w:sz w:val="28"/>
          <w:highlight w:val="none"/>
        </w:rPr>
        <w:t>成员：汤平平  刁立达  王佰全</w:t>
      </w:r>
      <w:r>
        <w:rPr>
          <w:rFonts w:hint="eastAsia"/>
          <w:bCs/>
          <w:sz w:val="28"/>
          <w:highlight w:val="none"/>
          <w:lang w:val="en-US" w:eastAsia="zh-CN"/>
        </w:rPr>
        <w:t xml:space="preserve"> </w:t>
      </w:r>
      <w:r>
        <w:rPr>
          <w:rFonts w:hint="eastAsia"/>
          <w:bCs/>
          <w:sz w:val="28"/>
          <w:highlight w:val="none"/>
        </w:rPr>
        <w:t xml:space="preserve"> 李一峻</w:t>
      </w:r>
    </w:p>
    <w:p>
      <w:pPr>
        <w:spacing w:line="360" w:lineRule="auto"/>
        <w:ind w:firstLine="560" w:firstLineChars="200"/>
        <w:rPr>
          <w:sz w:val="28"/>
          <w:szCs w:val="28"/>
          <w:highlight w:val="none"/>
        </w:rPr>
      </w:pPr>
      <w:r>
        <w:rPr>
          <w:rFonts w:hint="eastAsia"/>
          <w:sz w:val="28"/>
          <w:szCs w:val="28"/>
          <w:highlight w:val="none"/>
        </w:rPr>
        <w:t>秘书：叶芳</w:t>
      </w:r>
    </w:p>
    <w:p>
      <w:pPr>
        <w:spacing w:line="360" w:lineRule="auto"/>
        <w:ind w:firstLine="560" w:firstLineChars="200"/>
        <w:rPr>
          <w:sz w:val="28"/>
          <w:szCs w:val="28"/>
          <w:highlight w:val="none"/>
        </w:rPr>
      </w:pPr>
    </w:p>
    <w:p>
      <w:pPr>
        <w:spacing w:line="360" w:lineRule="auto"/>
        <w:ind w:firstLine="6020" w:firstLineChars="2150"/>
        <w:jc w:val="right"/>
        <w:rPr>
          <w:sz w:val="28"/>
          <w:szCs w:val="28"/>
          <w:highlight w:val="none"/>
        </w:rPr>
      </w:pPr>
      <w:r>
        <w:rPr>
          <w:rFonts w:hint="eastAsia"/>
          <w:sz w:val="28"/>
          <w:szCs w:val="28"/>
          <w:highlight w:val="none"/>
        </w:rPr>
        <w:t>化学学院</w:t>
      </w:r>
    </w:p>
    <w:p>
      <w:pPr>
        <w:spacing w:line="360" w:lineRule="auto"/>
        <w:ind w:firstLine="6020" w:firstLineChars="2150"/>
        <w:jc w:val="right"/>
        <w:rPr>
          <w:sz w:val="28"/>
          <w:szCs w:val="28"/>
          <w:highlight w:val="none"/>
        </w:rPr>
      </w:pPr>
      <w:r>
        <w:rPr>
          <w:sz w:val="28"/>
          <w:szCs w:val="28"/>
          <w:highlight w:val="none"/>
        </w:rPr>
        <w:t>20</w:t>
      </w:r>
      <w:r>
        <w:rPr>
          <w:rFonts w:hint="eastAsia"/>
          <w:sz w:val="28"/>
          <w:szCs w:val="28"/>
          <w:highlight w:val="none"/>
        </w:rPr>
        <w:t>21年</w:t>
      </w:r>
      <w:r>
        <w:rPr>
          <w:rFonts w:hint="eastAsia"/>
          <w:sz w:val="28"/>
          <w:szCs w:val="28"/>
          <w:highlight w:val="none"/>
          <w:lang w:val="en-US" w:eastAsia="zh-CN"/>
        </w:rPr>
        <w:t>9</w:t>
      </w:r>
      <w:r>
        <w:rPr>
          <w:rFonts w:hint="eastAsia"/>
          <w:sz w:val="28"/>
          <w:szCs w:val="28"/>
          <w:highlight w:val="none"/>
        </w:rPr>
        <w:t>月</w:t>
      </w:r>
      <w:r>
        <w:rPr>
          <w:rFonts w:hint="eastAsia"/>
          <w:sz w:val="28"/>
          <w:szCs w:val="28"/>
          <w:highlight w:val="none"/>
          <w:lang w:val="en-US" w:eastAsia="zh-CN"/>
        </w:rPr>
        <w:t>3</w:t>
      </w:r>
      <w:r>
        <w:rPr>
          <w:rFonts w:hint="eastAsia"/>
          <w:sz w:val="28"/>
          <w:szCs w:val="28"/>
          <w:highlight w:val="none"/>
        </w:rPr>
        <w:t>日</w:t>
      </w:r>
    </w:p>
    <w:p>
      <w:pPr>
        <w:spacing w:line="360" w:lineRule="auto"/>
        <w:jc w:val="center"/>
        <w:rPr>
          <w:b/>
          <w:sz w:val="24"/>
          <w:highlight w:val="none"/>
        </w:rPr>
      </w:pPr>
      <w:r>
        <w:rPr>
          <w:sz w:val="28"/>
          <w:szCs w:val="28"/>
          <w:highlight w:val="none"/>
        </w:rPr>
        <w:br w:type="page"/>
      </w:r>
      <w:r>
        <w:rPr>
          <w:rFonts w:hint="eastAsia"/>
          <w:b/>
          <w:sz w:val="24"/>
          <w:highlight w:val="none"/>
        </w:rPr>
        <w:t>化学学院</w:t>
      </w:r>
      <w:r>
        <w:rPr>
          <w:rFonts w:hAnsi="宋体"/>
          <w:b/>
          <w:sz w:val="24"/>
          <w:highlight w:val="none"/>
        </w:rPr>
        <w:t>综合素质考核</w:t>
      </w:r>
      <w:r>
        <w:rPr>
          <w:rFonts w:hint="eastAsia" w:hAnsi="宋体"/>
          <w:b/>
          <w:sz w:val="24"/>
          <w:highlight w:val="none"/>
        </w:rPr>
        <w:t>评分标准</w:t>
      </w:r>
    </w:p>
    <w:p>
      <w:pPr>
        <w:spacing w:line="360" w:lineRule="auto"/>
        <w:rPr>
          <w:sz w:val="24"/>
          <w:highlight w:val="none"/>
        </w:rPr>
      </w:pPr>
    </w:p>
    <w:tbl>
      <w:tblPr>
        <w:tblStyle w:val="5"/>
        <w:tblW w:w="7793"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1733"/>
        <w:gridCol w:w="179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spacing w:line="360" w:lineRule="auto"/>
              <w:jc w:val="center"/>
              <w:rPr>
                <w:sz w:val="24"/>
                <w:highlight w:val="none"/>
              </w:rPr>
            </w:pPr>
            <w:r>
              <w:rPr>
                <w:rFonts w:hint="eastAsia"/>
                <w:sz w:val="24"/>
                <w:highlight w:val="none"/>
              </w:rPr>
              <w:t>特殊学术专长（30%）</w:t>
            </w:r>
          </w:p>
        </w:tc>
        <w:tc>
          <w:tcPr>
            <w:tcW w:w="1733" w:type="dxa"/>
          </w:tcPr>
          <w:p>
            <w:pPr>
              <w:spacing w:line="360" w:lineRule="auto"/>
              <w:jc w:val="center"/>
              <w:rPr>
                <w:sz w:val="24"/>
                <w:highlight w:val="none"/>
              </w:rPr>
            </w:pPr>
            <w:r>
              <w:rPr>
                <w:rFonts w:hint="eastAsia"/>
                <w:sz w:val="24"/>
                <w:highlight w:val="none"/>
              </w:rPr>
              <w:t>科研训练表现（40%）</w:t>
            </w:r>
          </w:p>
        </w:tc>
        <w:tc>
          <w:tcPr>
            <w:tcW w:w="1798" w:type="dxa"/>
          </w:tcPr>
          <w:p>
            <w:pPr>
              <w:spacing w:line="360" w:lineRule="auto"/>
              <w:jc w:val="center"/>
              <w:rPr>
                <w:sz w:val="24"/>
                <w:highlight w:val="none"/>
              </w:rPr>
            </w:pPr>
            <w:r>
              <w:rPr>
                <w:rFonts w:hint="eastAsia"/>
                <w:sz w:val="24"/>
                <w:highlight w:val="none"/>
              </w:rPr>
              <w:t>英语水平</w:t>
            </w:r>
          </w:p>
          <w:p>
            <w:pPr>
              <w:spacing w:line="360" w:lineRule="auto"/>
              <w:jc w:val="center"/>
              <w:rPr>
                <w:sz w:val="24"/>
                <w:highlight w:val="none"/>
              </w:rPr>
            </w:pPr>
            <w:r>
              <w:rPr>
                <w:rFonts w:hint="eastAsia"/>
                <w:sz w:val="24"/>
                <w:highlight w:val="none"/>
              </w:rPr>
              <w:t>（20%）</w:t>
            </w:r>
          </w:p>
        </w:tc>
        <w:tc>
          <w:tcPr>
            <w:tcW w:w="1985" w:type="dxa"/>
          </w:tcPr>
          <w:p>
            <w:pPr>
              <w:spacing w:line="360" w:lineRule="auto"/>
              <w:jc w:val="center"/>
              <w:rPr>
                <w:sz w:val="24"/>
                <w:highlight w:val="none"/>
              </w:rPr>
            </w:pPr>
            <w:r>
              <w:rPr>
                <w:rFonts w:hint="eastAsia"/>
                <w:sz w:val="24"/>
                <w:highlight w:val="none"/>
              </w:rPr>
              <w:t>参军入伍服兵役（10%）</w:t>
            </w:r>
          </w:p>
        </w:tc>
      </w:tr>
    </w:tbl>
    <w:p>
      <w:pPr>
        <w:spacing w:line="360" w:lineRule="auto"/>
        <w:rPr>
          <w:sz w:val="24"/>
          <w:highlight w:val="none"/>
        </w:rPr>
      </w:pPr>
      <w:r>
        <w:rPr>
          <w:rFonts w:hint="eastAsia"/>
          <w:sz w:val="24"/>
          <w:highlight w:val="none"/>
        </w:rPr>
        <w:t>说明：</w:t>
      </w:r>
    </w:p>
    <w:p>
      <w:pPr>
        <w:numPr>
          <w:ilvl w:val="0"/>
          <w:numId w:val="1"/>
        </w:numPr>
        <w:spacing w:line="360" w:lineRule="auto"/>
        <w:rPr>
          <w:sz w:val="24"/>
          <w:highlight w:val="none"/>
        </w:rPr>
      </w:pPr>
      <w:r>
        <w:rPr>
          <w:rFonts w:hint="eastAsia"/>
          <w:sz w:val="24"/>
          <w:highlight w:val="none"/>
        </w:rPr>
        <w:t>特殊学术专长（满分100分，超出100分按照100分计），其中：</w:t>
      </w:r>
    </w:p>
    <w:p>
      <w:pPr>
        <w:numPr>
          <w:ilvl w:val="0"/>
          <w:numId w:val="2"/>
        </w:numPr>
        <w:spacing w:line="360" w:lineRule="auto"/>
        <w:rPr>
          <w:sz w:val="24"/>
          <w:highlight w:val="none"/>
        </w:rPr>
      </w:pPr>
      <w:r>
        <w:rPr>
          <w:rFonts w:hint="eastAsia"/>
          <w:sz w:val="24"/>
          <w:highlight w:val="none"/>
        </w:rPr>
        <w:t>发表论文：推免生特殊学术专长原则上仅限学生本科阶段在SCI期刊上以独立作者或第一作者发表的与学业相关的科研论文；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sz w:val="24"/>
                <w:highlight w:val="none"/>
              </w:rPr>
            </w:pPr>
            <w:r>
              <w:rPr>
                <w:rFonts w:hint="eastAsia"/>
                <w:sz w:val="24"/>
                <w:highlight w:val="none"/>
              </w:rPr>
              <w:t>期刊</w:t>
            </w:r>
          </w:p>
        </w:tc>
        <w:tc>
          <w:tcPr>
            <w:tcW w:w="2841" w:type="dxa"/>
          </w:tcPr>
          <w:p>
            <w:pPr>
              <w:spacing w:line="360" w:lineRule="auto"/>
              <w:jc w:val="center"/>
              <w:rPr>
                <w:sz w:val="24"/>
                <w:highlight w:val="none"/>
              </w:rPr>
            </w:pPr>
            <w:r>
              <w:rPr>
                <w:rFonts w:hint="eastAsia"/>
                <w:sz w:val="24"/>
                <w:highlight w:val="none"/>
              </w:rPr>
              <w:t>本科生署名</w:t>
            </w:r>
          </w:p>
        </w:tc>
        <w:tc>
          <w:tcPr>
            <w:tcW w:w="2841" w:type="dxa"/>
          </w:tcPr>
          <w:p>
            <w:pPr>
              <w:spacing w:line="360" w:lineRule="auto"/>
              <w:jc w:val="center"/>
              <w:rPr>
                <w:sz w:val="24"/>
                <w:highlight w:val="none"/>
              </w:rPr>
            </w:pPr>
            <w:r>
              <w:rPr>
                <w:rFonts w:hint="eastAsia"/>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sz w:val="24"/>
                <w:highlight w:val="none"/>
              </w:rPr>
            </w:pPr>
            <w:r>
              <w:rPr>
                <w:rFonts w:hint="eastAsia"/>
                <w:sz w:val="24"/>
                <w:highlight w:val="none"/>
              </w:rPr>
              <w:t>化学</w:t>
            </w:r>
            <w:r>
              <w:rPr>
                <w:rFonts w:hint="eastAsia"/>
                <w:sz w:val="24"/>
                <w:highlight w:val="none"/>
                <w:lang w:val="en-US" w:eastAsia="zh-CN"/>
              </w:rPr>
              <w:t>学</w:t>
            </w:r>
            <w:r>
              <w:rPr>
                <w:rFonts w:hint="eastAsia"/>
                <w:sz w:val="24"/>
                <w:highlight w:val="none"/>
              </w:rPr>
              <w:t>院顶级期刊</w:t>
            </w:r>
          </w:p>
        </w:tc>
        <w:tc>
          <w:tcPr>
            <w:tcW w:w="2841" w:type="dxa"/>
          </w:tcPr>
          <w:p>
            <w:pPr>
              <w:spacing w:line="360" w:lineRule="auto"/>
              <w:jc w:val="center"/>
              <w:rPr>
                <w:sz w:val="24"/>
                <w:highlight w:val="none"/>
              </w:rPr>
            </w:pPr>
            <w:r>
              <w:rPr>
                <w:rFonts w:hint="eastAsia"/>
                <w:sz w:val="24"/>
                <w:highlight w:val="none"/>
              </w:rPr>
              <w:t>第一作者</w:t>
            </w:r>
          </w:p>
        </w:tc>
        <w:tc>
          <w:tcPr>
            <w:tcW w:w="2841" w:type="dxa"/>
          </w:tcPr>
          <w:p>
            <w:pPr>
              <w:spacing w:line="360" w:lineRule="auto"/>
              <w:jc w:val="center"/>
              <w:rPr>
                <w:sz w:val="24"/>
                <w:highlight w:val="none"/>
              </w:rPr>
            </w:pPr>
            <w:r>
              <w:rPr>
                <w:rFonts w:hint="eastAsia"/>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sz w:val="24"/>
                <w:highlight w:val="none"/>
              </w:rPr>
            </w:pPr>
            <w:r>
              <w:rPr>
                <w:rFonts w:hint="eastAsia"/>
                <w:sz w:val="24"/>
                <w:highlight w:val="none"/>
              </w:rPr>
              <w:t>化</w:t>
            </w:r>
            <w:r>
              <w:rPr>
                <w:rFonts w:hint="eastAsia"/>
                <w:sz w:val="24"/>
                <w:highlight w:val="none"/>
                <w:lang w:val="en-US" w:eastAsia="zh-CN"/>
              </w:rPr>
              <w:t>学</w:t>
            </w:r>
            <w:bookmarkStart w:id="0" w:name="_GoBack"/>
            <w:bookmarkEnd w:id="0"/>
            <w:r>
              <w:rPr>
                <w:rFonts w:hint="eastAsia"/>
                <w:sz w:val="24"/>
                <w:highlight w:val="none"/>
              </w:rPr>
              <w:t>学院权威期刊</w:t>
            </w:r>
          </w:p>
        </w:tc>
        <w:tc>
          <w:tcPr>
            <w:tcW w:w="2841" w:type="dxa"/>
          </w:tcPr>
          <w:p>
            <w:pPr>
              <w:spacing w:line="360" w:lineRule="auto"/>
              <w:jc w:val="center"/>
              <w:rPr>
                <w:sz w:val="24"/>
                <w:highlight w:val="none"/>
              </w:rPr>
            </w:pPr>
            <w:r>
              <w:rPr>
                <w:rFonts w:hint="eastAsia"/>
                <w:sz w:val="24"/>
                <w:highlight w:val="none"/>
              </w:rPr>
              <w:t>第一作者</w:t>
            </w:r>
          </w:p>
        </w:tc>
        <w:tc>
          <w:tcPr>
            <w:tcW w:w="2841" w:type="dxa"/>
          </w:tcPr>
          <w:p>
            <w:pPr>
              <w:spacing w:line="360" w:lineRule="auto"/>
              <w:jc w:val="center"/>
              <w:rPr>
                <w:sz w:val="24"/>
                <w:highlight w:val="none"/>
              </w:rPr>
            </w:pPr>
            <w:r>
              <w:rPr>
                <w:rFonts w:hint="eastAsia"/>
                <w:sz w:val="24"/>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sz w:val="24"/>
                <w:highlight w:val="none"/>
              </w:rPr>
            </w:pPr>
            <w:r>
              <w:rPr>
                <w:rFonts w:hint="eastAsia"/>
                <w:sz w:val="24"/>
                <w:highlight w:val="none"/>
              </w:rPr>
              <w:t>SCI收录</w:t>
            </w:r>
          </w:p>
        </w:tc>
        <w:tc>
          <w:tcPr>
            <w:tcW w:w="2841" w:type="dxa"/>
          </w:tcPr>
          <w:p>
            <w:pPr>
              <w:spacing w:line="360" w:lineRule="auto"/>
              <w:jc w:val="center"/>
              <w:rPr>
                <w:sz w:val="24"/>
                <w:highlight w:val="none"/>
              </w:rPr>
            </w:pPr>
            <w:r>
              <w:rPr>
                <w:rFonts w:hint="eastAsia"/>
                <w:sz w:val="24"/>
                <w:highlight w:val="none"/>
              </w:rPr>
              <w:t>第一作者</w:t>
            </w:r>
          </w:p>
        </w:tc>
        <w:tc>
          <w:tcPr>
            <w:tcW w:w="2841" w:type="dxa"/>
          </w:tcPr>
          <w:p>
            <w:pPr>
              <w:spacing w:line="360" w:lineRule="auto"/>
              <w:jc w:val="center"/>
              <w:rPr>
                <w:sz w:val="24"/>
                <w:highlight w:val="none"/>
              </w:rPr>
            </w:pPr>
            <w:r>
              <w:rPr>
                <w:rFonts w:hint="eastAsia"/>
                <w:sz w:val="24"/>
                <w:highlight w:val="none"/>
              </w:rPr>
              <w:t>20</w:t>
            </w:r>
          </w:p>
        </w:tc>
      </w:tr>
    </w:tbl>
    <w:p>
      <w:pPr>
        <w:spacing w:line="360" w:lineRule="auto"/>
        <w:rPr>
          <w:sz w:val="24"/>
          <w:highlight w:val="none"/>
        </w:rPr>
      </w:pPr>
      <w:r>
        <w:rPr>
          <w:rFonts w:hint="eastAsia"/>
          <w:sz w:val="24"/>
          <w:highlight w:val="none"/>
        </w:rPr>
        <w:t>注：如共同第一作者，则共同第一作者平均分配分值。</w:t>
      </w:r>
    </w:p>
    <w:p>
      <w:pPr>
        <w:numPr>
          <w:ilvl w:val="0"/>
          <w:numId w:val="2"/>
        </w:numPr>
        <w:spacing w:line="360" w:lineRule="auto"/>
        <w:rPr>
          <w:sz w:val="24"/>
          <w:highlight w:val="none"/>
        </w:rPr>
      </w:pPr>
      <w:r>
        <w:rPr>
          <w:rFonts w:hint="eastAsia"/>
          <w:sz w:val="24"/>
          <w:highlight w:val="none"/>
          <w:lang w:val="en-US" w:eastAsia="zh-CN"/>
        </w:rPr>
        <w:t>学科</w:t>
      </w:r>
      <w:r>
        <w:rPr>
          <w:rFonts w:hint="eastAsia"/>
          <w:sz w:val="24"/>
          <w:highlight w:val="none"/>
        </w:rPr>
        <w:t>竞赛（满分100分），其中：</w:t>
      </w:r>
    </w:p>
    <w:tbl>
      <w:tblPr>
        <w:tblStyle w:val="6"/>
        <w:tblW w:w="5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584"/>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spacing w:line="360" w:lineRule="auto"/>
              <w:jc w:val="center"/>
              <w:rPr>
                <w:sz w:val="24"/>
                <w:highlight w:val="none"/>
              </w:rPr>
            </w:pPr>
            <w:r>
              <w:rPr>
                <w:rFonts w:hint="eastAsia"/>
                <w:sz w:val="24"/>
                <w:highlight w:val="none"/>
              </w:rPr>
              <w:t>级别</w:t>
            </w:r>
          </w:p>
        </w:tc>
        <w:tc>
          <w:tcPr>
            <w:tcW w:w="1584" w:type="dxa"/>
          </w:tcPr>
          <w:p>
            <w:pPr>
              <w:spacing w:line="360" w:lineRule="auto"/>
              <w:jc w:val="center"/>
              <w:rPr>
                <w:sz w:val="24"/>
                <w:highlight w:val="none"/>
              </w:rPr>
            </w:pPr>
            <w:r>
              <w:rPr>
                <w:rFonts w:hint="eastAsia"/>
                <w:sz w:val="24"/>
                <w:highlight w:val="none"/>
              </w:rPr>
              <w:t>获奖等级</w:t>
            </w:r>
          </w:p>
        </w:tc>
        <w:tc>
          <w:tcPr>
            <w:tcW w:w="2832" w:type="dxa"/>
          </w:tcPr>
          <w:p>
            <w:pPr>
              <w:spacing w:line="360" w:lineRule="auto"/>
              <w:jc w:val="center"/>
              <w:rPr>
                <w:sz w:val="24"/>
                <w:highlight w:val="none"/>
              </w:rPr>
            </w:pPr>
            <w:r>
              <w:rPr>
                <w:rFonts w:hint="eastAsia"/>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restart"/>
          </w:tcPr>
          <w:p>
            <w:pPr>
              <w:spacing w:line="360" w:lineRule="auto"/>
              <w:jc w:val="center"/>
              <w:rPr>
                <w:rFonts w:hint="eastAsia"/>
                <w:sz w:val="24"/>
                <w:highlight w:val="none"/>
              </w:rPr>
            </w:pPr>
          </w:p>
          <w:p>
            <w:pPr>
              <w:spacing w:line="360" w:lineRule="auto"/>
              <w:jc w:val="center"/>
              <w:rPr>
                <w:sz w:val="24"/>
                <w:highlight w:val="none"/>
              </w:rPr>
            </w:pPr>
            <w:r>
              <w:rPr>
                <w:rFonts w:hint="eastAsia"/>
                <w:sz w:val="24"/>
                <w:highlight w:val="none"/>
              </w:rPr>
              <w:t>全国赛</w:t>
            </w:r>
          </w:p>
        </w:tc>
        <w:tc>
          <w:tcPr>
            <w:tcW w:w="1584" w:type="dxa"/>
          </w:tcPr>
          <w:p>
            <w:pPr>
              <w:spacing w:line="360" w:lineRule="auto"/>
              <w:jc w:val="center"/>
              <w:rPr>
                <w:sz w:val="24"/>
                <w:highlight w:val="none"/>
              </w:rPr>
            </w:pPr>
            <w:r>
              <w:rPr>
                <w:rFonts w:hint="eastAsia"/>
                <w:sz w:val="24"/>
                <w:highlight w:val="none"/>
              </w:rPr>
              <w:t>特等奖</w:t>
            </w:r>
          </w:p>
        </w:tc>
        <w:tc>
          <w:tcPr>
            <w:tcW w:w="2832" w:type="dxa"/>
          </w:tcPr>
          <w:p>
            <w:pPr>
              <w:spacing w:line="360" w:lineRule="auto"/>
              <w:jc w:val="center"/>
              <w:rPr>
                <w:sz w:val="24"/>
                <w:highlight w:val="none"/>
              </w:rPr>
            </w:pPr>
            <w:r>
              <w:rPr>
                <w:rFonts w:hint="eastAsia"/>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line="360" w:lineRule="auto"/>
              <w:jc w:val="center"/>
              <w:rPr>
                <w:sz w:val="24"/>
                <w:highlight w:val="none"/>
              </w:rPr>
            </w:pPr>
          </w:p>
        </w:tc>
        <w:tc>
          <w:tcPr>
            <w:tcW w:w="1584" w:type="dxa"/>
          </w:tcPr>
          <w:p>
            <w:pPr>
              <w:spacing w:line="360" w:lineRule="auto"/>
              <w:jc w:val="center"/>
              <w:rPr>
                <w:sz w:val="24"/>
                <w:highlight w:val="none"/>
              </w:rPr>
            </w:pPr>
            <w:r>
              <w:rPr>
                <w:rFonts w:hint="eastAsia"/>
                <w:sz w:val="24"/>
                <w:highlight w:val="none"/>
              </w:rPr>
              <w:t>一等奖</w:t>
            </w:r>
          </w:p>
        </w:tc>
        <w:tc>
          <w:tcPr>
            <w:tcW w:w="2832" w:type="dxa"/>
          </w:tcPr>
          <w:p>
            <w:pPr>
              <w:spacing w:line="360" w:lineRule="auto"/>
              <w:jc w:val="center"/>
              <w:rPr>
                <w:sz w:val="24"/>
                <w:highlight w:val="none"/>
              </w:rPr>
            </w:pPr>
            <w:r>
              <w:rPr>
                <w:rFonts w:hint="eastAsia"/>
                <w:sz w:val="24"/>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line="360" w:lineRule="auto"/>
              <w:jc w:val="center"/>
              <w:rPr>
                <w:sz w:val="24"/>
                <w:highlight w:val="none"/>
              </w:rPr>
            </w:pPr>
          </w:p>
        </w:tc>
        <w:tc>
          <w:tcPr>
            <w:tcW w:w="1584" w:type="dxa"/>
          </w:tcPr>
          <w:p>
            <w:pPr>
              <w:spacing w:line="360" w:lineRule="auto"/>
              <w:jc w:val="center"/>
              <w:rPr>
                <w:sz w:val="24"/>
                <w:highlight w:val="none"/>
              </w:rPr>
            </w:pPr>
            <w:r>
              <w:rPr>
                <w:rFonts w:hint="eastAsia"/>
                <w:sz w:val="24"/>
                <w:highlight w:val="none"/>
              </w:rPr>
              <w:t>二等奖</w:t>
            </w:r>
          </w:p>
        </w:tc>
        <w:tc>
          <w:tcPr>
            <w:tcW w:w="2832" w:type="dxa"/>
          </w:tcPr>
          <w:p>
            <w:pPr>
              <w:spacing w:line="360" w:lineRule="auto"/>
              <w:jc w:val="center"/>
              <w:rPr>
                <w:sz w:val="24"/>
                <w:highlight w:val="none"/>
              </w:rPr>
            </w:pPr>
            <w:r>
              <w:rPr>
                <w:rFonts w:hint="eastAsia"/>
                <w:sz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tcPr>
          <w:p>
            <w:pPr>
              <w:spacing w:line="360" w:lineRule="auto"/>
              <w:jc w:val="center"/>
              <w:rPr>
                <w:sz w:val="24"/>
                <w:highlight w:val="none"/>
              </w:rPr>
            </w:pPr>
          </w:p>
        </w:tc>
        <w:tc>
          <w:tcPr>
            <w:tcW w:w="1584" w:type="dxa"/>
          </w:tcPr>
          <w:p>
            <w:pPr>
              <w:spacing w:line="360" w:lineRule="auto"/>
              <w:jc w:val="center"/>
              <w:rPr>
                <w:sz w:val="24"/>
                <w:highlight w:val="none"/>
              </w:rPr>
            </w:pPr>
            <w:r>
              <w:rPr>
                <w:rFonts w:hint="eastAsia"/>
                <w:sz w:val="24"/>
                <w:highlight w:val="none"/>
              </w:rPr>
              <w:t>三等奖</w:t>
            </w:r>
          </w:p>
        </w:tc>
        <w:tc>
          <w:tcPr>
            <w:tcW w:w="2832" w:type="dxa"/>
          </w:tcPr>
          <w:p>
            <w:pPr>
              <w:spacing w:line="360" w:lineRule="auto"/>
              <w:jc w:val="center"/>
              <w:rPr>
                <w:sz w:val="24"/>
                <w:highlight w:val="none"/>
              </w:rPr>
            </w:pPr>
            <w:r>
              <w:rPr>
                <w:rFonts w:hint="eastAsia"/>
                <w:sz w:val="24"/>
                <w:highlight w:val="none"/>
              </w:rPr>
              <w:t>40</w:t>
            </w:r>
          </w:p>
        </w:tc>
      </w:tr>
    </w:tbl>
    <w:p>
      <w:pPr>
        <w:spacing w:line="360" w:lineRule="auto"/>
        <w:rPr>
          <w:sz w:val="24"/>
          <w:highlight w:val="none"/>
        </w:rPr>
      </w:pPr>
    </w:p>
    <w:p>
      <w:pPr>
        <w:spacing w:line="360" w:lineRule="auto"/>
        <w:rPr>
          <w:sz w:val="24"/>
          <w:highlight w:val="none"/>
        </w:rPr>
      </w:pPr>
      <w:r>
        <w:rPr>
          <w:rFonts w:hint="eastAsia"/>
          <w:sz w:val="24"/>
          <w:highlight w:val="none"/>
        </w:rPr>
        <w:t>注：每个获奖项目，限前三位获奖者。</w:t>
      </w:r>
    </w:p>
    <w:p>
      <w:pPr>
        <w:spacing w:line="360" w:lineRule="auto"/>
        <w:ind w:firstLine="480" w:firstLineChars="200"/>
        <w:rPr>
          <w:sz w:val="24"/>
          <w:highlight w:val="none"/>
        </w:rPr>
      </w:pPr>
      <w:r>
        <w:rPr>
          <w:rFonts w:hint="eastAsia"/>
          <w:sz w:val="24"/>
          <w:highlight w:val="none"/>
        </w:rPr>
        <w:t>分值分配比例：1人，100%；2人，60%：40%；3人，</w:t>
      </w:r>
      <w:r>
        <w:rPr>
          <w:rFonts w:hint="eastAsia"/>
          <w:sz w:val="24"/>
          <w:highlight w:val="none"/>
          <w:lang w:val="en-US" w:eastAsia="zh-CN"/>
        </w:rPr>
        <w:t>4</w:t>
      </w:r>
      <w:r>
        <w:rPr>
          <w:rFonts w:hint="eastAsia"/>
          <w:sz w:val="24"/>
          <w:highlight w:val="none"/>
        </w:rPr>
        <w:t>0%：30%：</w:t>
      </w:r>
      <w:r>
        <w:rPr>
          <w:rFonts w:hint="eastAsia"/>
          <w:sz w:val="24"/>
          <w:highlight w:val="none"/>
          <w:lang w:val="en-US" w:eastAsia="zh-CN"/>
        </w:rPr>
        <w:t>3</w:t>
      </w:r>
      <w:r>
        <w:rPr>
          <w:rFonts w:hint="eastAsia"/>
          <w:sz w:val="24"/>
          <w:highlight w:val="none"/>
        </w:rPr>
        <w:t>0%</w:t>
      </w:r>
    </w:p>
    <w:p>
      <w:pPr>
        <w:spacing w:line="360" w:lineRule="auto"/>
        <w:ind w:firstLine="480" w:firstLineChars="200"/>
        <w:rPr>
          <w:sz w:val="24"/>
          <w:highlight w:val="none"/>
        </w:rPr>
      </w:pPr>
      <w:r>
        <w:rPr>
          <w:rFonts w:hint="eastAsia"/>
          <w:sz w:val="24"/>
          <w:highlight w:val="none"/>
        </w:rPr>
        <w:t>学科奖赛范围：中国“互联网+”大学生创新创业大赛、“挑战杯</w:t>
      </w:r>
      <w:r>
        <w:rPr>
          <w:rFonts w:hint="eastAsia"/>
          <w:sz w:val="24"/>
          <w:highlight w:val="none"/>
          <w:lang w:eastAsia="zh-CN"/>
        </w:rPr>
        <w:t>”</w:t>
      </w:r>
      <w:r>
        <w:rPr>
          <w:rFonts w:hint="eastAsia"/>
          <w:sz w:val="24"/>
          <w:highlight w:val="none"/>
          <w:lang w:val="en-US" w:eastAsia="zh-CN"/>
        </w:rPr>
        <w:t>科技</w:t>
      </w:r>
      <w:r>
        <w:rPr>
          <w:rFonts w:hint="eastAsia"/>
          <w:sz w:val="24"/>
          <w:highlight w:val="none"/>
        </w:rPr>
        <w:t>作品竞赛、全国大学生化学实验创新设计竞赛及由学院专家审核小组认证的其他竞赛。国际赛事参照执行，但不低于国内赛事相关要求。</w:t>
      </w:r>
    </w:p>
    <w:p>
      <w:pPr>
        <w:numPr>
          <w:ilvl w:val="0"/>
          <w:numId w:val="1"/>
        </w:numPr>
        <w:spacing w:line="360" w:lineRule="auto"/>
        <w:rPr>
          <w:sz w:val="24"/>
          <w:highlight w:val="none"/>
        </w:rPr>
      </w:pPr>
      <w:r>
        <w:rPr>
          <w:rFonts w:hint="eastAsia"/>
          <w:sz w:val="24"/>
          <w:highlight w:val="none"/>
        </w:rPr>
        <w:t>科研训练表现满分100分，</w:t>
      </w:r>
      <w:r>
        <w:rPr>
          <w:rFonts w:hint="eastAsia"/>
          <w:sz w:val="24"/>
          <w:highlight w:val="none"/>
          <w:lang w:val="en-US" w:eastAsia="zh-CN"/>
        </w:rPr>
        <w:t>分为科研训练成果以及科研训练时长两部分。</w:t>
      </w:r>
    </w:p>
    <w:p>
      <w:pPr>
        <w:numPr>
          <w:ilvl w:val="0"/>
          <w:numId w:val="0"/>
        </w:numPr>
        <w:spacing w:line="360" w:lineRule="auto"/>
        <w:ind w:firstLine="480" w:firstLineChars="200"/>
        <w:rPr>
          <w:rFonts w:hint="eastAsia"/>
          <w:sz w:val="24"/>
          <w:highlight w:val="none"/>
        </w:rPr>
      </w:pPr>
      <w:r>
        <w:rPr>
          <w:rFonts w:hint="eastAsia"/>
          <w:sz w:val="24"/>
          <w:highlight w:val="none"/>
        </w:rPr>
        <w:t>科研训练成果（10分），由学院专家审核小组审定评分。</w:t>
      </w:r>
    </w:p>
    <w:p>
      <w:pPr>
        <w:numPr>
          <w:ilvl w:val="0"/>
          <w:numId w:val="0"/>
        </w:numPr>
        <w:spacing w:line="360" w:lineRule="auto"/>
        <w:ind w:firstLine="480" w:firstLineChars="200"/>
        <w:rPr>
          <w:sz w:val="24"/>
          <w:highlight w:val="none"/>
        </w:rPr>
      </w:pPr>
      <w:r>
        <w:rPr>
          <w:rFonts w:hint="eastAsia"/>
          <w:sz w:val="24"/>
          <w:highlight w:val="none"/>
          <w:lang w:val="en-US" w:eastAsia="zh-CN"/>
        </w:rPr>
        <w:t>科研训练时长（90分），</w:t>
      </w:r>
      <w:r>
        <w:rPr>
          <w:rFonts w:hint="eastAsia"/>
          <w:sz w:val="24"/>
          <w:highlight w:val="none"/>
        </w:rPr>
        <w:t>分为三档：</w:t>
      </w:r>
    </w:p>
    <w:p>
      <w:pPr>
        <w:spacing w:line="360" w:lineRule="auto"/>
        <w:ind w:firstLine="480"/>
        <w:rPr>
          <w:sz w:val="24"/>
          <w:highlight w:val="none"/>
        </w:rPr>
      </w:pPr>
    </w:p>
    <w:p>
      <w:pPr>
        <w:numPr>
          <w:ilvl w:val="0"/>
          <w:numId w:val="3"/>
        </w:numPr>
        <w:spacing w:line="360" w:lineRule="auto"/>
        <w:ind w:firstLine="426"/>
        <w:rPr>
          <w:sz w:val="24"/>
          <w:highlight w:val="none"/>
        </w:rPr>
      </w:pPr>
      <w:r>
        <w:rPr>
          <w:rFonts w:hint="eastAsia"/>
          <w:sz w:val="24"/>
          <w:highlight w:val="none"/>
        </w:rPr>
        <w:t>系统参加过较高水平的科研训练，一年以上（7</w:t>
      </w:r>
      <w:r>
        <w:rPr>
          <w:rFonts w:hint="eastAsia"/>
          <w:sz w:val="24"/>
          <w:highlight w:val="none"/>
          <w:lang w:val="en-US" w:eastAsia="zh-CN"/>
        </w:rPr>
        <w:t>0</w:t>
      </w:r>
      <w:r>
        <w:rPr>
          <w:rFonts w:hint="eastAsia"/>
          <w:sz w:val="24"/>
          <w:highlight w:val="none"/>
        </w:rPr>
        <w:t>分），国创、市创、百项负责人加</w:t>
      </w:r>
      <w:r>
        <w:rPr>
          <w:rFonts w:hint="eastAsia"/>
          <w:sz w:val="24"/>
          <w:highlight w:val="none"/>
          <w:lang w:val="en-US" w:eastAsia="zh-CN"/>
        </w:rPr>
        <w:t>20</w:t>
      </w:r>
      <w:r>
        <w:rPr>
          <w:rFonts w:hint="eastAsia"/>
          <w:sz w:val="24"/>
          <w:highlight w:val="none"/>
        </w:rPr>
        <w:t>分，国创、市创、百项参加人加5分；</w:t>
      </w:r>
    </w:p>
    <w:p>
      <w:pPr>
        <w:numPr>
          <w:ilvl w:val="0"/>
          <w:numId w:val="3"/>
        </w:numPr>
        <w:spacing w:line="360" w:lineRule="auto"/>
        <w:ind w:firstLine="426"/>
        <w:rPr>
          <w:sz w:val="24"/>
          <w:highlight w:val="none"/>
        </w:rPr>
      </w:pPr>
      <w:r>
        <w:rPr>
          <w:rFonts w:hint="eastAsia"/>
          <w:sz w:val="24"/>
          <w:highlight w:val="none"/>
        </w:rPr>
        <w:t>系统参加过一般水平的科研训练，半年以上（60分）；</w:t>
      </w:r>
    </w:p>
    <w:p>
      <w:pPr>
        <w:numPr>
          <w:ilvl w:val="0"/>
          <w:numId w:val="3"/>
        </w:numPr>
        <w:spacing w:line="360" w:lineRule="auto"/>
        <w:ind w:firstLine="426"/>
        <w:rPr>
          <w:sz w:val="24"/>
          <w:highlight w:val="none"/>
        </w:rPr>
      </w:pPr>
      <w:r>
        <w:rPr>
          <w:rFonts w:hint="eastAsia"/>
          <w:sz w:val="24"/>
          <w:highlight w:val="none"/>
        </w:rPr>
        <w:t>参加过科研训练，少于半年（40分）；</w:t>
      </w:r>
    </w:p>
    <w:p>
      <w:pPr>
        <w:spacing w:line="360" w:lineRule="auto"/>
        <w:ind w:firstLine="480"/>
        <w:rPr>
          <w:sz w:val="24"/>
          <w:highlight w:val="none"/>
        </w:rPr>
      </w:pPr>
      <w:r>
        <w:rPr>
          <w:rFonts w:hint="eastAsia"/>
          <w:sz w:val="24"/>
          <w:highlight w:val="none"/>
        </w:rPr>
        <w:t>科研训练包括：我爱实验室、暑期科研训练、暑期科研实习、百项市创国创等多种形式进入课题组学习。</w:t>
      </w:r>
    </w:p>
    <w:p>
      <w:pPr>
        <w:numPr>
          <w:ilvl w:val="0"/>
          <w:numId w:val="1"/>
        </w:numPr>
        <w:spacing w:line="360" w:lineRule="auto"/>
        <w:rPr>
          <w:sz w:val="24"/>
          <w:highlight w:val="none"/>
        </w:rPr>
      </w:pPr>
      <w:r>
        <w:rPr>
          <w:rFonts w:hint="eastAsia"/>
          <w:sz w:val="24"/>
          <w:highlight w:val="none"/>
        </w:rPr>
        <w:t>英语水平满分100分，成绩计算方法：</w:t>
      </w:r>
    </w:p>
    <w:p>
      <w:pPr>
        <w:spacing w:line="360" w:lineRule="auto"/>
        <w:ind w:firstLine="480" w:firstLineChars="200"/>
        <w:rPr>
          <w:sz w:val="24"/>
          <w:highlight w:val="none"/>
        </w:rPr>
      </w:pPr>
      <w:r>
        <w:rPr>
          <w:rFonts w:hint="eastAsia"/>
          <w:sz w:val="24"/>
          <w:highlight w:val="none"/>
        </w:rPr>
        <w:t>四级成绩（折合成百分制）*</w:t>
      </w:r>
      <w:r>
        <w:rPr>
          <w:rFonts w:hint="eastAsia"/>
          <w:sz w:val="24"/>
          <w:highlight w:val="none"/>
          <w:lang w:val="en-US" w:eastAsia="zh-CN"/>
        </w:rPr>
        <w:t>5</w:t>
      </w:r>
      <w:r>
        <w:rPr>
          <w:rFonts w:hint="eastAsia"/>
          <w:sz w:val="24"/>
          <w:highlight w:val="none"/>
        </w:rPr>
        <w:t>0%+六级成绩（折合成百分制）*</w:t>
      </w:r>
      <w:r>
        <w:rPr>
          <w:rFonts w:hint="eastAsia"/>
          <w:sz w:val="24"/>
          <w:highlight w:val="none"/>
          <w:lang w:val="en-US" w:eastAsia="zh-CN"/>
        </w:rPr>
        <w:t>5</w:t>
      </w:r>
      <w:r>
        <w:rPr>
          <w:rFonts w:hint="eastAsia"/>
          <w:sz w:val="24"/>
          <w:highlight w:val="none"/>
        </w:rPr>
        <w:t>0%。</w:t>
      </w:r>
    </w:p>
    <w:p>
      <w:pPr>
        <w:numPr>
          <w:ilvl w:val="0"/>
          <w:numId w:val="1"/>
        </w:numPr>
        <w:spacing w:line="360" w:lineRule="auto"/>
        <w:rPr>
          <w:sz w:val="24"/>
          <w:highlight w:val="none"/>
        </w:rPr>
      </w:pPr>
      <w:r>
        <w:rPr>
          <w:rFonts w:hint="eastAsia"/>
          <w:sz w:val="24"/>
          <w:highlight w:val="none"/>
        </w:rPr>
        <w:t>参军入伍服兵役在综合素质评价中所占权重为 10%，按照参军入伍、嘉奖、优秀士兵、三等功及以上奖励，分别给予 50、60、80、90 分的分数认定，在旅团级以上比武竞赛中取得优胜或在遂行重大任务中表现优异的，额外给予 5 分加分奖励（可累加，至100 分为止）。</w:t>
      </w:r>
    </w:p>
    <w:p>
      <w:pPr>
        <w:spacing w:line="360" w:lineRule="auto"/>
        <w:rPr>
          <w:sz w:val="24"/>
          <w:highlight w:val="none"/>
        </w:rPr>
      </w:pPr>
    </w:p>
    <w:p>
      <w:pPr>
        <w:spacing w:after="120" w:line="360" w:lineRule="auto"/>
        <w:jc w:val="center"/>
        <w:rPr>
          <w:rFonts w:ascii="黑体" w:eastAsia="黑体"/>
          <w:sz w:val="30"/>
          <w:szCs w:val="30"/>
          <w:highlight w:val="none"/>
        </w:rPr>
      </w:pPr>
      <w:r>
        <w:rPr>
          <w:sz w:val="24"/>
          <w:highlight w:val="none"/>
        </w:rPr>
        <w:br w:type="page"/>
      </w:r>
      <w:r>
        <w:rPr>
          <w:rFonts w:hint="eastAsia" w:ascii="黑体" w:eastAsia="黑体"/>
          <w:sz w:val="30"/>
          <w:szCs w:val="30"/>
          <w:highlight w:val="none"/>
        </w:rPr>
        <w:t>化学学院本科生科研训练调查表</w:t>
      </w:r>
    </w:p>
    <w:tbl>
      <w:tblPr>
        <w:tblStyle w:val="5"/>
        <w:tblW w:w="814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11"/>
        <w:gridCol w:w="1530"/>
        <w:gridCol w:w="1531"/>
        <w:gridCol w:w="1531"/>
        <w:gridCol w:w="781"/>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gridSpan w:val="2"/>
            <w:tcMar>
              <w:left w:w="57" w:type="dxa"/>
              <w:right w:w="57" w:type="dxa"/>
            </w:tcMar>
          </w:tcPr>
          <w:p>
            <w:pPr>
              <w:spacing w:line="360" w:lineRule="auto"/>
              <w:rPr>
                <w:b/>
                <w:sz w:val="24"/>
                <w:highlight w:val="none"/>
              </w:rPr>
            </w:pPr>
            <w:r>
              <w:rPr>
                <w:rFonts w:hint="eastAsia"/>
                <w:sz w:val="24"/>
                <w:highlight w:val="none"/>
              </w:rPr>
              <w:t>学生姓名</w:t>
            </w:r>
          </w:p>
        </w:tc>
        <w:tc>
          <w:tcPr>
            <w:tcW w:w="1530" w:type="dxa"/>
          </w:tcPr>
          <w:p>
            <w:pPr>
              <w:spacing w:line="360" w:lineRule="auto"/>
              <w:rPr>
                <w:b/>
                <w:sz w:val="24"/>
                <w:highlight w:val="none"/>
              </w:rPr>
            </w:pPr>
          </w:p>
        </w:tc>
        <w:tc>
          <w:tcPr>
            <w:tcW w:w="1531" w:type="dxa"/>
          </w:tcPr>
          <w:p>
            <w:pPr>
              <w:spacing w:line="360" w:lineRule="auto"/>
              <w:rPr>
                <w:b/>
                <w:sz w:val="24"/>
                <w:highlight w:val="none"/>
              </w:rPr>
            </w:pPr>
            <w:r>
              <w:rPr>
                <w:rFonts w:hint="eastAsia"/>
                <w:sz w:val="24"/>
                <w:highlight w:val="none"/>
              </w:rPr>
              <w:t>学号</w:t>
            </w:r>
          </w:p>
        </w:tc>
        <w:tc>
          <w:tcPr>
            <w:tcW w:w="1531" w:type="dxa"/>
          </w:tcPr>
          <w:p>
            <w:pPr>
              <w:spacing w:line="360" w:lineRule="auto"/>
              <w:rPr>
                <w:b/>
                <w:sz w:val="24"/>
                <w:highlight w:val="none"/>
              </w:rPr>
            </w:pPr>
          </w:p>
        </w:tc>
        <w:tc>
          <w:tcPr>
            <w:tcW w:w="781" w:type="dxa"/>
          </w:tcPr>
          <w:p>
            <w:pPr>
              <w:spacing w:line="360" w:lineRule="auto"/>
              <w:rPr>
                <w:b/>
                <w:sz w:val="24"/>
                <w:highlight w:val="none"/>
              </w:rPr>
            </w:pPr>
            <w:r>
              <w:rPr>
                <w:rFonts w:hint="eastAsia"/>
                <w:sz w:val="24"/>
                <w:highlight w:val="none"/>
              </w:rPr>
              <w:t>专业</w:t>
            </w:r>
          </w:p>
        </w:tc>
        <w:tc>
          <w:tcPr>
            <w:tcW w:w="1297" w:type="dxa"/>
          </w:tcPr>
          <w:p>
            <w:pPr>
              <w:spacing w:line="360" w:lineRule="auto"/>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trPr>
        <w:tc>
          <w:tcPr>
            <w:tcW w:w="8143" w:type="dxa"/>
            <w:gridSpan w:val="7"/>
            <w:tcMar>
              <w:left w:w="57" w:type="dxa"/>
              <w:right w:w="57" w:type="dxa"/>
            </w:tcMar>
          </w:tcPr>
          <w:p>
            <w:pPr>
              <w:spacing w:before="120"/>
              <w:rPr>
                <w:sz w:val="24"/>
                <w:highlight w:val="none"/>
              </w:rPr>
            </w:pPr>
            <w:r>
              <w:rPr>
                <w:rFonts w:hint="eastAsia"/>
                <w:b/>
                <w:sz w:val="24"/>
                <w:highlight w:val="none"/>
              </w:rPr>
              <w:t>参加科研训练简况</w:t>
            </w:r>
            <w:r>
              <w:rPr>
                <w:rFonts w:hint="eastAsia"/>
                <w:sz w:val="24"/>
                <w:highlight w:val="none"/>
              </w:rPr>
              <w:t>（</w:t>
            </w:r>
            <w:r>
              <w:rPr>
                <w:rFonts w:hint="eastAsia"/>
                <w:szCs w:val="21"/>
                <w:highlight w:val="none"/>
              </w:rPr>
              <w:t>时间、项目等，若参加国创、</w:t>
            </w:r>
            <w:r>
              <w:rPr>
                <w:rFonts w:hint="eastAsia"/>
                <w:szCs w:val="21"/>
                <w:highlight w:val="none"/>
                <w:lang w:val="en-US" w:eastAsia="zh-CN"/>
              </w:rPr>
              <w:t>市创、</w:t>
            </w:r>
            <w:r>
              <w:rPr>
                <w:rFonts w:hint="eastAsia"/>
                <w:szCs w:val="21"/>
                <w:highlight w:val="none"/>
              </w:rPr>
              <w:t>百项，提供项目名称</w:t>
            </w:r>
            <w:r>
              <w:rPr>
                <w:rFonts w:hint="eastAsia"/>
                <w:szCs w:val="21"/>
                <w:highlight w:val="none"/>
                <w:lang w:eastAsia="zh-CN"/>
              </w:rPr>
              <w:t>、</w:t>
            </w:r>
            <w:r>
              <w:rPr>
                <w:rFonts w:hint="eastAsia"/>
                <w:szCs w:val="21"/>
                <w:highlight w:val="none"/>
                <w:lang w:val="en-US" w:eastAsia="zh-CN"/>
              </w:rPr>
              <w:t>编号</w:t>
            </w:r>
            <w:r>
              <w:rPr>
                <w:rFonts w:hint="eastAsia"/>
                <w:szCs w:val="21"/>
                <w:highlight w:val="none"/>
              </w:rPr>
              <w:t>，结题情况，本人的角色与分工；另附《科研训练报告》</w:t>
            </w:r>
            <w:r>
              <w:rPr>
                <w:rFonts w:hint="eastAsia"/>
                <w:sz w:val="24"/>
                <w:highlight w:val="none"/>
              </w:rPr>
              <w:t>）：</w:t>
            </w:r>
          </w:p>
          <w:p>
            <w:pPr>
              <w:spacing w:line="276" w:lineRule="auto"/>
              <w:rPr>
                <w:szCs w:val="21"/>
                <w:highlight w:val="none"/>
              </w:rPr>
            </w:pPr>
          </w:p>
          <w:p>
            <w:pPr>
              <w:spacing w:line="276" w:lineRule="auto"/>
              <w:rPr>
                <w:szCs w:val="21"/>
                <w:highlight w:val="none"/>
              </w:rPr>
            </w:pPr>
          </w:p>
          <w:p>
            <w:pPr>
              <w:spacing w:line="276" w:lineRule="auto"/>
              <w:rPr>
                <w:szCs w:val="21"/>
                <w:highlight w:val="none"/>
              </w:rPr>
            </w:pPr>
          </w:p>
          <w:p>
            <w:pPr>
              <w:spacing w:line="276" w:lineRule="auto"/>
              <w:rPr>
                <w:szCs w:val="21"/>
                <w:highlight w:val="none"/>
              </w:rPr>
            </w:pPr>
          </w:p>
          <w:p>
            <w:pPr>
              <w:spacing w:line="276" w:lineRule="auto"/>
              <w:rPr>
                <w:szCs w:val="21"/>
                <w:highlight w:val="none"/>
              </w:rPr>
            </w:pPr>
          </w:p>
          <w:p>
            <w:pPr>
              <w:spacing w:line="276" w:lineRule="auto"/>
              <w:rPr>
                <w:szCs w:val="21"/>
                <w:highlight w:val="none"/>
              </w:rPr>
            </w:pPr>
          </w:p>
          <w:p>
            <w:pPr>
              <w:spacing w:line="276" w:lineRule="auto"/>
              <w:rPr>
                <w:szCs w:val="21"/>
                <w:highlight w:val="none"/>
              </w:rPr>
            </w:pPr>
          </w:p>
          <w:p>
            <w:pPr>
              <w:spacing w:line="276" w:lineRule="auto"/>
              <w:rPr>
                <w:szCs w:val="21"/>
                <w:highlight w:val="none"/>
              </w:rPr>
            </w:pPr>
          </w:p>
          <w:p>
            <w:pPr>
              <w:spacing w:line="276" w:lineRule="auto"/>
              <w:rPr>
                <w:szCs w:val="21"/>
                <w:highlight w:val="none"/>
              </w:rPr>
            </w:pPr>
          </w:p>
          <w:p>
            <w:pPr>
              <w:spacing w:line="276" w:lineRule="auto"/>
              <w:rPr>
                <w:szCs w:val="21"/>
                <w:highlight w:val="none"/>
              </w:rPr>
            </w:pPr>
          </w:p>
          <w:p>
            <w:pPr>
              <w:spacing w:line="276" w:lineRule="auto"/>
              <w:rPr>
                <w:szCs w:val="21"/>
                <w:highlight w:val="none"/>
              </w:rPr>
            </w:pPr>
          </w:p>
          <w:p>
            <w:pPr>
              <w:spacing w:line="276" w:lineRule="auto"/>
              <w:rPr>
                <w:szCs w:val="21"/>
                <w:highlight w:val="none"/>
              </w:rPr>
            </w:pPr>
          </w:p>
          <w:p>
            <w:pPr>
              <w:spacing w:line="276" w:lineRule="auto"/>
              <w:rPr>
                <w:szCs w:val="21"/>
                <w:highlight w:val="none"/>
              </w:rPr>
            </w:pPr>
          </w:p>
          <w:p>
            <w:pPr>
              <w:spacing w:line="276" w:lineRule="auto"/>
              <w:rPr>
                <w:szCs w:val="21"/>
                <w:highlight w:val="none"/>
              </w:rPr>
            </w:pPr>
          </w:p>
          <w:p>
            <w:pPr>
              <w:spacing w:line="276" w:lineRule="auto"/>
              <w:rPr>
                <w:szCs w:val="21"/>
                <w:highlight w:val="none"/>
              </w:rPr>
            </w:pPr>
          </w:p>
          <w:p>
            <w:pPr>
              <w:spacing w:line="276" w:lineRule="auto"/>
              <w:rPr>
                <w:szCs w:val="21"/>
                <w:highlight w:val="none"/>
              </w:rPr>
            </w:pPr>
          </w:p>
          <w:p>
            <w:pPr>
              <w:spacing w:line="276" w:lineRule="auto"/>
              <w:rPr>
                <w:szCs w:val="21"/>
                <w:highlight w:val="none"/>
              </w:rPr>
            </w:pPr>
          </w:p>
          <w:p>
            <w:pPr>
              <w:spacing w:line="276"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trPr>
        <w:tc>
          <w:tcPr>
            <w:tcW w:w="8143" w:type="dxa"/>
            <w:gridSpan w:val="7"/>
            <w:tcMar>
              <w:left w:w="57" w:type="dxa"/>
              <w:right w:w="57" w:type="dxa"/>
            </w:tcMar>
          </w:tcPr>
          <w:p>
            <w:pPr>
              <w:spacing w:line="276" w:lineRule="auto"/>
              <w:rPr>
                <w:szCs w:val="21"/>
                <w:highlight w:val="none"/>
              </w:rPr>
            </w:pPr>
            <w:r>
              <w:rPr>
                <w:rFonts w:hint="eastAsia"/>
                <w:szCs w:val="21"/>
                <w:highlight w:val="none"/>
              </w:rPr>
              <w:t>科研训练成果：包括文章、专利、获奖等，提供相应佐证材料。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Borders>
              <w:top w:val="single" w:color="auto" w:sz="4" w:space="0"/>
            </w:tcBorders>
            <w:tcMar>
              <w:left w:w="57" w:type="dxa"/>
              <w:right w:w="57" w:type="dxa"/>
            </w:tcMar>
          </w:tcPr>
          <w:p>
            <w:pPr>
              <w:spacing w:line="360" w:lineRule="auto"/>
              <w:jc w:val="center"/>
              <w:rPr>
                <w:sz w:val="24"/>
                <w:highlight w:val="none"/>
              </w:rPr>
            </w:pPr>
            <w:r>
              <w:rPr>
                <w:rFonts w:hint="eastAsia"/>
                <w:sz w:val="24"/>
                <w:highlight w:val="none"/>
              </w:rPr>
              <w:t>分档</w:t>
            </w:r>
          </w:p>
        </w:tc>
        <w:tc>
          <w:tcPr>
            <w:tcW w:w="3772" w:type="dxa"/>
            <w:gridSpan w:val="3"/>
            <w:tcBorders>
              <w:top w:val="single" w:color="auto" w:sz="4" w:space="0"/>
            </w:tcBorders>
          </w:tcPr>
          <w:p>
            <w:pPr>
              <w:spacing w:line="360" w:lineRule="auto"/>
              <w:rPr>
                <w:sz w:val="24"/>
                <w:highlight w:val="none"/>
              </w:rPr>
            </w:pPr>
            <w:r>
              <w:rPr>
                <w:rFonts w:hint="eastAsia"/>
                <w:sz w:val="24"/>
                <w:highlight w:val="none"/>
              </w:rPr>
              <w:t>科研训练情况</w:t>
            </w:r>
          </w:p>
        </w:tc>
        <w:tc>
          <w:tcPr>
            <w:tcW w:w="3609" w:type="dxa"/>
            <w:gridSpan w:val="3"/>
            <w:tcBorders>
              <w:top w:val="single" w:color="auto" w:sz="4" w:space="0"/>
            </w:tcBorders>
          </w:tcPr>
          <w:p>
            <w:pPr>
              <w:jc w:val="center"/>
              <w:rPr>
                <w:sz w:val="24"/>
                <w:highlight w:val="none"/>
              </w:rPr>
            </w:pPr>
            <w:r>
              <w:rPr>
                <w:rFonts w:hint="eastAsia"/>
                <w:sz w:val="24"/>
                <w:highlight w:val="none"/>
              </w:rPr>
              <w:t>学生选择（签字）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Mar>
              <w:left w:w="57" w:type="dxa"/>
              <w:right w:w="57" w:type="dxa"/>
            </w:tcMar>
          </w:tcPr>
          <w:p>
            <w:pPr>
              <w:spacing w:line="360" w:lineRule="auto"/>
              <w:jc w:val="center"/>
              <w:rPr>
                <w:sz w:val="24"/>
                <w:highlight w:val="none"/>
              </w:rPr>
            </w:pPr>
            <w:r>
              <w:rPr>
                <w:rFonts w:hint="eastAsia"/>
                <w:sz w:val="24"/>
                <w:highlight w:val="none"/>
              </w:rPr>
              <w:t>1</w:t>
            </w:r>
          </w:p>
        </w:tc>
        <w:tc>
          <w:tcPr>
            <w:tcW w:w="3772" w:type="dxa"/>
            <w:gridSpan w:val="3"/>
          </w:tcPr>
          <w:p>
            <w:pPr>
              <w:spacing w:line="360" w:lineRule="auto"/>
              <w:rPr>
                <w:b/>
                <w:sz w:val="24"/>
                <w:highlight w:val="none"/>
              </w:rPr>
            </w:pPr>
            <w:r>
              <w:rPr>
                <w:rFonts w:hint="eastAsia"/>
                <w:sz w:val="24"/>
                <w:highlight w:val="none"/>
              </w:rPr>
              <w:t>系统参加过科研训练，</w:t>
            </w:r>
            <w:r>
              <w:rPr>
                <w:rFonts w:hint="eastAsia"/>
                <w:b/>
                <w:sz w:val="24"/>
                <w:highlight w:val="none"/>
              </w:rPr>
              <w:t>一年以上</w:t>
            </w:r>
          </w:p>
          <w:p>
            <w:pPr>
              <w:spacing w:line="360" w:lineRule="auto"/>
              <w:rPr>
                <w:sz w:val="24"/>
                <w:highlight w:val="none"/>
              </w:rPr>
            </w:pPr>
            <w:r>
              <w:rPr>
                <w:sz w:val="24"/>
                <w:highlight w:val="none"/>
              </w:rPr>
              <w:sym w:font="Wingdings 2" w:char="00A3"/>
            </w:r>
            <w:r>
              <w:rPr>
                <w:rFonts w:hint="eastAsia"/>
                <w:sz w:val="24"/>
                <w:highlight w:val="none"/>
              </w:rPr>
              <w:t>国创、市创、百项项目负责人</w:t>
            </w:r>
          </w:p>
          <w:p>
            <w:pPr>
              <w:spacing w:line="360" w:lineRule="auto"/>
              <w:rPr>
                <w:sz w:val="24"/>
                <w:highlight w:val="none"/>
              </w:rPr>
            </w:pPr>
            <w:r>
              <w:rPr>
                <w:sz w:val="24"/>
                <w:highlight w:val="none"/>
              </w:rPr>
              <w:sym w:font="Wingdings 2" w:char="00A3"/>
            </w:r>
            <w:r>
              <w:rPr>
                <w:rFonts w:hint="eastAsia"/>
                <w:sz w:val="24"/>
                <w:highlight w:val="none"/>
              </w:rPr>
              <w:t>国创、市创、百项项目参与人</w:t>
            </w:r>
          </w:p>
        </w:tc>
        <w:tc>
          <w:tcPr>
            <w:tcW w:w="3609" w:type="dxa"/>
            <w:gridSpan w:val="3"/>
          </w:tcPr>
          <w:p>
            <w:pPr>
              <w:spacing w:line="360" w:lineRule="auto"/>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Mar>
              <w:left w:w="57" w:type="dxa"/>
              <w:right w:w="57" w:type="dxa"/>
            </w:tcMar>
          </w:tcPr>
          <w:p>
            <w:pPr>
              <w:spacing w:line="360" w:lineRule="auto"/>
              <w:jc w:val="center"/>
              <w:rPr>
                <w:sz w:val="24"/>
                <w:highlight w:val="none"/>
              </w:rPr>
            </w:pPr>
            <w:r>
              <w:rPr>
                <w:rFonts w:hint="eastAsia"/>
                <w:sz w:val="24"/>
                <w:highlight w:val="none"/>
              </w:rPr>
              <w:t>2</w:t>
            </w:r>
          </w:p>
        </w:tc>
        <w:tc>
          <w:tcPr>
            <w:tcW w:w="3772" w:type="dxa"/>
            <w:gridSpan w:val="3"/>
          </w:tcPr>
          <w:p>
            <w:pPr>
              <w:spacing w:line="360" w:lineRule="auto"/>
              <w:rPr>
                <w:sz w:val="24"/>
                <w:highlight w:val="none"/>
              </w:rPr>
            </w:pPr>
            <w:r>
              <w:rPr>
                <w:rFonts w:hint="eastAsia"/>
                <w:sz w:val="24"/>
                <w:highlight w:val="none"/>
              </w:rPr>
              <w:t>系统参加过科研训练，</w:t>
            </w:r>
            <w:r>
              <w:rPr>
                <w:rFonts w:hint="eastAsia"/>
                <w:b/>
                <w:sz w:val="24"/>
                <w:highlight w:val="none"/>
              </w:rPr>
              <w:t>半年以上</w:t>
            </w:r>
          </w:p>
        </w:tc>
        <w:tc>
          <w:tcPr>
            <w:tcW w:w="3609" w:type="dxa"/>
            <w:gridSpan w:val="3"/>
          </w:tcPr>
          <w:p>
            <w:pPr>
              <w:spacing w:line="360" w:lineRule="auto"/>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Mar>
              <w:left w:w="57" w:type="dxa"/>
              <w:right w:w="57" w:type="dxa"/>
            </w:tcMar>
          </w:tcPr>
          <w:p>
            <w:pPr>
              <w:spacing w:line="360" w:lineRule="auto"/>
              <w:jc w:val="center"/>
              <w:rPr>
                <w:sz w:val="24"/>
                <w:highlight w:val="none"/>
              </w:rPr>
            </w:pPr>
            <w:r>
              <w:rPr>
                <w:rFonts w:hint="eastAsia"/>
                <w:sz w:val="24"/>
                <w:highlight w:val="none"/>
              </w:rPr>
              <w:t>3</w:t>
            </w:r>
          </w:p>
        </w:tc>
        <w:tc>
          <w:tcPr>
            <w:tcW w:w="3772" w:type="dxa"/>
            <w:gridSpan w:val="3"/>
          </w:tcPr>
          <w:p>
            <w:pPr>
              <w:spacing w:line="360" w:lineRule="auto"/>
              <w:rPr>
                <w:sz w:val="24"/>
                <w:highlight w:val="none"/>
              </w:rPr>
            </w:pPr>
            <w:r>
              <w:rPr>
                <w:rFonts w:hint="eastAsia"/>
                <w:sz w:val="24"/>
                <w:highlight w:val="none"/>
              </w:rPr>
              <w:t>参加过科研训练，</w:t>
            </w:r>
            <w:r>
              <w:rPr>
                <w:rFonts w:hint="eastAsia"/>
                <w:b/>
                <w:sz w:val="24"/>
                <w:highlight w:val="none"/>
              </w:rPr>
              <w:t>少于半年</w:t>
            </w:r>
          </w:p>
        </w:tc>
        <w:tc>
          <w:tcPr>
            <w:tcW w:w="3609" w:type="dxa"/>
            <w:gridSpan w:val="3"/>
          </w:tcPr>
          <w:p>
            <w:pPr>
              <w:spacing w:line="360" w:lineRule="auto"/>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3" w:type="dxa"/>
            <w:gridSpan w:val="7"/>
            <w:tcMar>
              <w:left w:w="57" w:type="dxa"/>
              <w:right w:w="57" w:type="dxa"/>
            </w:tcMar>
          </w:tcPr>
          <w:p>
            <w:pPr>
              <w:spacing w:line="276" w:lineRule="auto"/>
              <w:rPr>
                <w:b/>
                <w:sz w:val="24"/>
                <w:highlight w:val="none"/>
              </w:rPr>
            </w:pPr>
            <w:r>
              <w:rPr>
                <w:rFonts w:hint="eastAsia"/>
                <w:b/>
                <w:sz w:val="24"/>
                <w:highlight w:val="none"/>
              </w:rPr>
              <w:t>导师意见：</w:t>
            </w:r>
          </w:p>
          <w:p>
            <w:pPr>
              <w:ind w:firstLine="1786"/>
              <w:rPr>
                <w:sz w:val="24"/>
                <w:highlight w:val="none"/>
              </w:rPr>
            </w:pPr>
            <w:r>
              <w:rPr>
                <w:rFonts w:hint="eastAsia"/>
                <w:sz w:val="24"/>
                <w:highlight w:val="none"/>
              </w:rPr>
              <w:t>我已经审核《科研训练报告》，情况属实，并确认分档。</w:t>
            </w:r>
          </w:p>
          <w:p>
            <w:pPr>
              <w:spacing w:before="120" w:after="120" w:line="360" w:lineRule="auto"/>
              <w:ind w:firstLine="3487"/>
              <w:rPr>
                <w:sz w:val="24"/>
                <w:highlight w:val="none"/>
              </w:rPr>
            </w:pPr>
            <w:r>
              <w:rPr>
                <w:rFonts w:hint="eastAsia"/>
                <w:sz w:val="24"/>
                <w:highlight w:val="none"/>
              </w:rPr>
              <w:t>导师签字：              日期：</w:t>
            </w:r>
          </w:p>
        </w:tc>
      </w:tr>
    </w:tbl>
    <w:p>
      <w:pPr>
        <w:spacing w:line="276" w:lineRule="auto"/>
        <w:ind w:firstLine="567"/>
        <w:rPr>
          <w:sz w:val="24"/>
          <w:highlight w:val="none"/>
        </w:rPr>
      </w:pPr>
      <w:r>
        <w:rPr>
          <w:rFonts w:hint="eastAsia"/>
          <w:sz w:val="24"/>
          <w:highlight w:val="none"/>
        </w:rPr>
        <w:t>此表双面打印，导师需审核《科研训练报告》并在《科研训练调查表》签字确认。</w:t>
      </w:r>
    </w:p>
    <w:p>
      <w:pPr>
        <w:spacing w:line="276" w:lineRule="auto"/>
        <w:ind w:firstLine="567"/>
        <w:rPr>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05CB7"/>
    <w:multiLevelType w:val="singleLevel"/>
    <w:tmpl w:val="93205CB7"/>
    <w:lvl w:ilvl="0" w:tentative="0">
      <w:start w:val="1"/>
      <w:numFmt w:val="decimal"/>
      <w:suff w:val="nothing"/>
      <w:lvlText w:val="（%1）"/>
      <w:lvlJc w:val="left"/>
    </w:lvl>
  </w:abstractNum>
  <w:abstractNum w:abstractNumId="1">
    <w:nsid w:val="AD7C6554"/>
    <w:multiLevelType w:val="singleLevel"/>
    <w:tmpl w:val="AD7C6554"/>
    <w:lvl w:ilvl="0" w:tentative="0">
      <w:start w:val="1"/>
      <w:numFmt w:val="upperLetter"/>
      <w:suff w:val="space"/>
      <w:lvlText w:val="%1."/>
      <w:lvlJc w:val="left"/>
    </w:lvl>
  </w:abstractNum>
  <w:abstractNum w:abstractNumId="2">
    <w:nsid w:val="6A440FCB"/>
    <w:multiLevelType w:val="singleLevel"/>
    <w:tmpl w:val="6A440FCB"/>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10CC1"/>
    <w:rsid w:val="000E4AD5"/>
    <w:rsid w:val="001660F4"/>
    <w:rsid w:val="00214B18"/>
    <w:rsid w:val="00300BE6"/>
    <w:rsid w:val="004E39F2"/>
    <w:rsid w:val="00556D0E"/>
    <w:rsid w:val="00743566"/>
    <w:rsid w:val="00756D17"/>
    <w:rsid w:val="00994B96"/>
    <w:rsid w:val="00A10CC1"/>
    <w:rsid w:val="00A75B28"/>
    <w:rsid w:val="00C2683C"/>
    <w:rsid w:val="00C55F1F"/>
    <w:rsid w:val="00C91721"/>
    <w:rsid w:val="00CA0791"/>
    <w:rsid w:val="00D2627B"/>
    <w:rsid w:val="00FC465D"/>
    <w:rsid w:val="058E0BAB"/>
    <w:rsid w:val="08C56CF6"/>
    <w:rsid w:val="092B5207"/>
    <w:rsid w:val="0A09378B"/>
    <w:rsid w:val="0B222790"/>
    <w:rsid w:val="0EB45E94"/>
    <w:rsid w:val="0F714C13"/>
    <w:rsid w:val="11EB1EAB"/>
    <w:rsid w:val="152D22D2"/>
    <w:rsid w:val="15971647"/>
    <w:rsid w:val="15A72678"/>
    <w:rsid w:val="16465AFA"/>
    <w:rsid w:val="164D3E24"/>
    <w:rsid w:val="19164A5C"/>
    <w:rsid w:val="19173494"/>
    <w:rsid w:val="1BDC5A17"/>
    <w:rsid w:val="1F0954A0"/>
    <w:rsid w:val="1FEC3E37"/>
    <w:rsid w:val="20B06759"/>
    <w:rsid w:val="21856ACF"/>
    <w:rsid w:val="222E6D8A"/>
    <w:rsid w:val="22431AD9"/>
    <w:rsid w:val="23612515"/>
    <w:rsid w:val="24773407"/>
    <w:rsid w:val="259A5066"/>
    <w:rsid w:val="29B54E27"/>
    <w:rsid w:val="2CCF6D6C"/>
    <w:rsid w:val="34534065"/>
    <w:rsid w:val="37404B99"/>
    <w:rsid w:val="39CE712F"/>
    <w:rsid w:val="3A0578AB"/>
    <w:rsid w:val="3CB9681A"/>
    <w:rsid w:val="3FE9654A"/>
    <w:rsid w:val="40172678"/>
    <w:rsid w:val="41161533"/>
    <w:rsid w:val="41F57748"/>
    <w:rsid w:val="45E938C3"/>
    <w:rsid w:val="49474CD0"/>
    <w:rsid w:val="4A0B739C"/>
    <w:rsid w:val="50DF1772"/>
    <w:rsid w:val="53E459F7"/>
    <w:rsid w:val="55B560BD"/>
    <w:rsid w:val="5A805FE0"/>
    <w:rsid w:val="5B7F3BE8"/>
    <w:rsid w:val="5FFA05E8"/>
    <w:rsid w:val="66A618A2"/>
    <w:rsid w:val="66C82277"/>
    <w:rsid w:val="68F03F44"/>
    <w:rsid w:val="6B2156FA"/>
    <w:rsid w:val="6BA4785A"/>
    <w:rsid w:val="75E31E23"/>
    <w:rsid w:val="779F7885"/>
    <w:rsid w:val="79210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354</Words>
  <Characters>2018</Characters>
  <Lines>16</Lines>
  <Paragraphs>4</Paragraphs>
  <TotalTime>1</TotalTime>
  <ScaleCrop>false</ScaleCrop>
  <LinksUpToDate>false</LinksUpToDate>
  <CharactersWithSpaces>2368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2020-08-28T02:59:00Z</dcterms:created>
  <dc:creator>lenovo</dc:creator>
  <cp:lastModifiedBy>叶方</cp:lastModifiedBy>
  <cp:lastPrinted>2021-08-27T04:27:00Z</cp:lastPrinted>
  <dcterms:modified xsi:type="dcterms:W3CDTF">2021-09-06T07:31:26Z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B815179CDD4E48CEBFA75DA47CE3E19C</vt:lpwstr>
  </property>
</Properties>
</file>