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b/>
          <w:sz w:val="32"/>
        </w:rPr>
      </w:pPr>
      <w:r>
        <w:rPr>
          <w:rFonts w:hint="eastAsia"/>
          <w:b/>
          <w:sz w:val="32"/>
        </w:rPr>
        <w:drawing>
          <wp:anchor distT="0" distB="0" distL="114300" distR="114300" simplePos="0" relativeHeight="251659264" behindDoc="0" locked="0" layoutInCell="1" allowOverlap="1">
            <wp:simplePos x="0" y="0"/>
            <wp:positionH relativeFrom="column">
              <wp:posOffset>-234950</wp:posOffset>
            </wp:positionH>
            <wp:positionV relativeFrom="paragraph">
              <wp:posOffset>-527050</wp:posOffset>
            </wp:positionV>
            <wp:extent cx="2114550" cy="603250"/>
            <wp:effectExtent l="19050" t="0" r="0" b="0"/>
            <wp:wrapNone/>
            <wp:docPr id="1" name="Picture 1" descr="H:\My Documents\Nankai\Documents, Processes\Nanka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My Documents\Nankai\Documents, Processes\Nankai logo.png"/>
                    <pic:cNvPicPr>
                      <a:picLocks noChangeAspect="1" noChangeArrowheads="1"/>
                    </pic:cNvPicPr>
                  </pic:nvPicPr>
                  <pic:blipFill>
                    <a:blip r:embed="rId4"/>
                    <a:stretch>
                      <a:fillRect/>
                    </a:stretch>
                  </pic:blipFill>
                  <pic:spPr>
                    <a:xfrm>
                      <a:off x="0" y="0"/>
                      <a:ext cx="2114550" cy="603250"/>
                    </a:xfrm>
                    <a:prstGeom prst="rect">
                      <a:avLst/>
                    </a:prstGeom>
                  </pic:spPr>
                </pic:pic>
              </a:graphicData>
            </a:graphic>
          </wp:anchor>
        </w:drawing>
      </w:r>
    </w:p>
    <w:p>
      <w:pPr>
        <w:widowControl/>
        <w:jc w:val="center"/>
        <w:rPr>
          <w:b/>
          <w:sz w:val="32"/>
        </w:rPr>
      </w:pPr>
      <w:r>
        <w:rPr>
          <w:rFonts w:hint="eastAsia"/>
          <w:b/>
          <w:sz w:val="32"/>
        </w:rPr>
        <w:t>2022南开大学-格拉斯哥大学双博士项目简章</w:t>
      </w:r>
    </w:p>
    <w:p>
      <w:pPr>
        <w:spacing w:line="360" w:lineRule="auto"/>
        <w:jc w:val="center"/>
        <w:rPr>
          <w:sz w:val="28"/>
        </w:rPr>
      </w:pPr>
    </w:p>
    <w:p>
      <w:pPr>
        <w:spacing w:line="360" w:lineRule="auto"/>
        <w:ind w:firstLine="420"/>
        <w:rPr>
          <w:rFonts w:asciiTheme="minorEastAsia" w:hAnsiTheme="minorEastAsia"/>
          <w:sz w:val="24"/>
        </w:rPr>
      </w:pPr>
      <w:r>
        <w:rPr>
          <w:rFonts w:asciiTheme="minorEastAsia" w:hAnsiTheme="minorEastAsia"/>
          <w:sz w:val="24"/>
        </w:rPr>
        <w:t>格拉斯哥大学位于苏格兰，始建于</w:t>
      </w:r>
      <w:r>
        <w:rPr>
          <w:rFonts w:hint="eastAsia" w:asciiTheme="minorEastAsia" w:hAnsiTheme="minorEastAsia"/>
          <w:sz w:val="24"/>
        </w:rPr>
        <w:t>1451年，</w:t>
      </w:r>
      <w:r>
        <w:rPr>
          <w:rFonts w:asciiTheme="minorEastAsia" w:hAnsiTheme="minorEastAsia"/>
          <w:sz w:val="24"/>
        </w:rPr>
        <w:t>是英语国家中第四古老的大学，20</w:t>
      </w:r>
      <w:r>
        <w:rPr>
          <w:rFonts w:hint="eastAsia" w:asciiTheme="minorEastAsia" w:hAnsiTheme="minorEastAsia"/>
          <w:sz w:val="24"/>
        </w:rPr>
        <w:t>22</w:t>
      </w:r>
      <w:r>
        <w:rPr>
          <w:rFonts w:asciiTheme="minorEastAsia" w:hAnsiTheme="minorEastAsia"/>
          <w:sz w:val="24"/>
        </w:rPr>
        <w:t>年度QS世界排名居第</w:t>
      </w:r>
      <w:r>
        <w:rPr>
          <w:rFonts w:hint="eastAsia" w:asciiTheme="minorEastAsia" w:hAnsiTheme="minorEastAsia"/>
          <w:sz w:val="24"/>
        </w:rPr>
        <w:t>73</w:t>
      </w:r>
      <w:r>
        <w:rPr>
          <w:rFonts w:asciiTheme="minorEastAsia" w:hAnsiTheme="minorEastAsia"/>
          <w:sz w:val="24"/>
        </w:rPr>
        <w:t>名。</w:t>
      </w:r>
    </w:p>
    <w:p>
      <w:pPr>
        <w:spacing w:line="360" w:lineRule="auto"/>
        <w:ind w:firstLine="420"/>
        <w:rPr>
          <w:rFonts w:asciiTheme="minorEastAsia" w:hAnsiTheme="minorEastAsia"/>
          <w:sz w:val="24"/>
        </w:rPr>
      </w:pPr>
      <w:r>
        <w:rPr>
          <w:rFonts w:hint="eastAsia" w:asciiTheme="minorEastAsia" w:hAnsiTheme="minorEastAsia"/>
          <w:sz w:val="24"/>
        </w:rPr>
        <w:t>南开大学与格拉斯哥大学双博士项目自2019年起招生，学习语言为英语，学生修业合格后将由南开大学与格拉斯哥大学分别授予博士学位。</w:t>
      </w:r>
    </w:p>
    <w:p>
      <w:pPr>
        <w:spacing w:line="360" w:lineRule="auto"/>
        <w:ind w:firstLine="420"/>
        <w:rPr>
          <w:rFonts w:asciiTheme="minorEastAsia" w:hAnsiTheme="minorEastAsia"/>
          <w:sz w:val="24"/>
        </w:rPr>
      </w:pPr>
      <w:r>
        <w:rPr>
          <w:rFonts w:hint="eastAsia" w:asciiTheme="minorEastAsia" w:hAnsiTheme="minorEastAsia"/>
          <w:sz w:val="24"/>
        </w:rPr>
        <w:t>一、申请资格</w:t>
      </w:r>
    </w:p>
    <w:p>
      <w:pPr>
        <w:spacing w:line="360" w:lineRule="auto"/>
        <w:ind w:firstLine="360"/>
        <w:rPr>
          <w:rFonts w:hint="eastAsia" w:asciiTheme="minorEastAsia" w:hAnsiTheme="minorEastAsia" w:eastAsiaTheme="minorEastAsia"/>
          <w:sz w:val="24"/>
          <w:lang w:eastAsia="zh-CN"/>
        </w:rPr>
      </w:pPr>
      <w:r>
        <w:rPr>
          <w:rFonts w:hint="eastAsia" w:asciiTheme="minorEastAsia" w:hAnsiTheme="minorEastAsia"/>
          <w:sz w:val="24"/>
        </w:rPr>
        <w:t>（一）1. 获得2022年南开大学博士研究生的录取资格</w:t>
      </w:r>
      <w:r>
        <w:rPr>
          <w:rFonts w:hint="eastAsia" w:asciiTheme="minorEastAsia" w:hAnsiTheme="minorEastAsia"/>
          <w:sz w:val="24"/>
          <w:lang w:eastAsia="zh-CN"/>
        </w:rPr>
        <w:t>；</w:t>
      </w:r>
    </w:p>
    <w:p>
      <w:pPr>
        <w:spacing w:line="360" w:lineRule="auto"/>
        <w:ind w:left="779" w:leftChars="371" w:firstLine="300" w:firstLineChars="125"/>
        <w:rPr>
          <w:rFonts w:asciiTheme="minorEastAsia" w:hAnsiTheme="minorEastAsia"/>
          <w:sz w:val="24"/>
        </w:rPr>
      </w:pPr>
      <w:r>
        <w:rPr>
          <w:rFonts w:hint="eastAsia" w:asciiTheme="minorEastAsia" w:hAnsiTheme="minorEastAsia"/>
          <w:sz w:val="24"/>
        </w:rPr>
        <w:t>2. 博士一年级（2021级）在读生，经导师同意后，可申请双博士项目。</w:t>
      </w:r>
    </w:p>
    <w:p>
      <w:pPr>
        <w:spacing w:line="360" w:lineRule="auto"/>
        <w:ind w:firstLine="360"/>
        <w:rPr>
          <w:rFonts w:hint="eastAsia" w:asciiTheme="minorEastAsia" w:hAnsiTheme="minorEastAsia"/>
          <w:sz w:val="24"/>
        </w:rPr>
      </w:pPr>
      <w:r>
        <w:rPr>
          <w:rFonts w:hint="eastAsia" w:asciiTheme="minorEastAsia" w:hAnsiTheme="minorEastAsia"/>
          <w:sz w:val="24"/>
        </w:rPr>
        <w:t>（二）学生在进入双博士项目前必须达到以下英语水平</w:t>
      </w:r>
      <w:r>
        <w:rPr>
          <w:rFonts w:hint="eastAsia" w:asciiTheme="minorEastAsia" w:hAnsiTheme="minorEastAsia"/>
          <w:sz w:val="24"/>
          <w:lang w:val="en-US" w:eastAsia="zh-CN"/>
        </w:rPr>
        <w:t>之一</w:t>
      </w:r>
      <w:r>
        <w:rPr>
          <w:rFonts w:hint="eastAsia" w:asciiTheme="minorEastAsia" w:hAnsiTheme="minorEastAsia"/>
          <w:sz w:val="24"/>
        </w:rPr>
        <w:t>或与之相等的水平。</w:t>
      </w:r>
    </w:p>
    <w:p>
      <w:pPr>
        <w:pStyle w:val="12"/>
        <w:numPr>
          <w:ilvl w:val="0"/>
          <w:numId w:val="0"/>
        </w:numPr>
        <w:spacing w:line="360" w:lineRule="auto"/>
        <w:ind w:left="360" w:leftChars="0"/>
        <w:rPr>
          <w:b/>
          <w:sz w:val="24"/>
        </w:rPr>
      </w:pPr>
      <w:r>
        <w:rPr>
          <w:rFonts w:hint="eastAsia"/>
          <w:b/>
          <w:sz w:val="24"/>
          <w:lang w:val="en-US" w:eastAsia="zh-CN"/>
        </w:rPr>
        <w:t xml:space="preserve">1. </w:t>
      </w:r>
      <w:r>
        <w:rPr>
          <w:rFonts w:hint="eastAsia"/>
          <w:b/>
          <w:sz w:val="24"/>
        </w:rPr>
        <w:t>雅思考试</w:t>
      </w:r>
    </w:p>
    <w:p>
      <w:pPr>
        <w:spacing w:line="360" w:lineRule="auto"/>
        <w:ind w:firstLine="360"/>
        <w:rPr>
          <w:sz w:val="24"/>
        </w:rPr>
      </w:pPr>
      <w:r>
        <w:rPr>
          <w:rFonts w:hint="eastAsia"/>
          <w:sz w:val="24"/>
        </w:rPr>
        <w:t>（1）外语专业</w:t>
      </w:r>
    </w:p>
    <w:p>
      <w:pPr>
        <w:spacing w:line="360" w:lineRule="auto"/>
        <w:ind w:firstLine="360"/>
        <w:rPr>
          <w:sz w:val="24"/>
        </w:rPr>
      </w:pPr>
      <w:r>
        <w:rPr>
          <w:rFonts w:hint="eastAsia"/>
          <w:sz w:val="24"/>
        </w:rPr>
        <w:t xml:space="preserve">无条件录取：IELTS 7.0, no sub-test under 6.5 </w:t>
      </w:r>
    </w:p>
    <w:p>
      <w:pPr>
        <w:spacing w:line="360" w:lineRule="auto"/>
        <w:ind w:firstLine="360"/>
        <w:rPr>
          <w:sz w:val="24"/>
        </w:rPr>
      </w:pPr>
      <w:r>
        <w:rPr>
          <w:rFonts w:hint="eastAsia"/>
          <w:sz w:val="24"/>
        </w:rPr>
        <w:t>参加语言预科：IELTS 6.5, no sub-test under 6.0</w:t>
      </w:r>
    </w:p>
    <w:p>
      <w:pPr>
        <w:spacing w:line="360" w:lineRule="auto"/>
        <w:ind w:firstLine="360"/>
        <w:rPr>
          <w:sz w:val="24"/>
        </w:rPr>
      </w:pPr>
      <w:r>
        <w:rPr>
          <w:rFonts w:hint="eastAsia"/>
          <w:sz w:val="24"/>
        </w:rPr>
        <w:t>（2）其他专业</w:t>
      </w:r>
    </w:p>
    <w:p>
      <w:pPr>
        <w:spacing w:line="360" w:lineRule="auto"/>
        <w:ind w:firstLine="360"/>
        <w:rPr>
          <w:sz w:val="24"/>
        </w:rPr>
      </w:pPr>
      <w:r>
        <w:rPr>
          <w:rFonts w:hint="eastAsia"/>
          <w:sz w:val="24"/>
        </w:rPr>
        <w:t>无条件录取：</w:t>
      </w:r>
      <w:r>
        <w:rPr>
          <w:sz w:val="24"/>
        </w:rPr>
        <w:t xml:space="preserve">IELTS 6.5, no sub-test under 6.0 </w:t>
      </w:r>
    </w:p>
    <w:p>
      <w:pPr>
        <w:spacing w:line="360" w:lineRule="auto"/>
        <w:ind w:firstLine="360"/>
        <w:rPr>
          <w:rFonts w:hint="eastAsia"/>
          <w:sz w:val="24"/>
        </w:rPr>
      </w:pPr>
      <w:r>
        <w:rPr>
          <w:rFonts w:hint="eastAsia"/>
          <w:sz w:val="24"/>
        </w:rPr>
        <w:t>参加语言预科：</w:t>
      </w:r>
      <w:r>
        <w:rPr>
          <w:sz w:val="24"/>
        </w:rPr>
        <w:t>IELTS 6.0, no sub-test below 5.5 and writing at 6.0</w:t>
      </w:r>
    </w:p>
    <w:p>
      <w:pPr>
        <w:numPr>
          <w:ilvl w:val="0"/>
          <w:numId w:val="1"/>
        </w:numPr>
        <w:spacing w:line="360" w:lineRule="auto"/>
        <w:ind w:firstLine="420" w:firstLineChars="0"/>
        <w:rPr>
          <w:b/>
          <w:sz w:val="24"/>
        </w:rPr>
      </w:pPr>
      <w:r>
        <w:rPr>
          <w:rFonts w:hint="eastAsia"/>
          <w:b/>
          <w:sz w:val="24"/>
        </w:rPr>
        <w:t>其他语言考试（适用于所有专业）</w:t>
      </w:r>
    </w:p>
    <w:p>
      <w:pPr>
        <w:spacing w:line="360" w:lineRule="auto"/>
        <w:ind w:firstLine="360"/>
        <w:rPr>
          <w:sz w:val="24"/>
        </w:rPr>
      </w:pPr>
      <w:r>
        <w:rPr>
          <w:rFonts w:hint="eastAsia"/>
          <w:sz w:val="24"/>
        </w:rPr>
        <w:t>（1）无条件录取：</w:t>
      </w:r>
    </w:p>
    <w:p>
      <w:pPr>
        <w:spacing w:line="360" w:lineRule="auto"/>
        <w:ind w:firstLine="360"/>
        <w:rPr>
          <w:sz w:val="24"/>
        </w:rPr>
      </w:pPr>
      <w:r>
        <w:rPr>
          <w:sz w:val="24"/>
        </w:rPr>
        <w:t xml:space="preserve">Trinity London ISE ISE II at Distinction, Distinction in all sub-tests </w:t>
      </w:r>
    </w:p>
    <w:p>
      <w:pPr>
        <w:spacing w:line="360" w:lineRule="auto"/>
        <w:ind w:firstLine="360"/>
        <w:rPr>
          <w:sz w:val="24"/>
        </w:rPr>
      </w:pPr>
      <w:r>
        <w:rPr>
          <w:rFonts w:hint="eastAsia"/>
          <w:sz w:val="24"/>
        </w:rPr>
        <w:t xml:space="preserve">IBT </w:t>
      </w:r>
      <w:r>
        <w:rPr>
          <w:sz w:val="24"/>
        </w:rPr>
        <w:t xml:space="preserve">TOEFL90 </w:t>
      </w:r>
      <w:r>
        <w:rPr>
          <w:rFonts w:hint="eastAsia"/>
          <w:sz w:val="24"/>
        </w:rPr>
        <w:t>(</w:t>
      </w:r>
      <w:r>
        <w:rPr>
          <w:sz w:val="24"/>
        </w:rPr>
        <w:t>Reading 20</w:t>
      </w:r>
      <w:r>
        <w:rPr>
          <w:rFonts w:hint="eastAsia"/>
          <w:sz w:val="24"/>
        </w:rPr>
        <w:t xml:space="preserve">, </w:t>
      </w:r>
      <w:r>
        <w:rPr>
          <w:sz w:val="24"/>
        </w:rPr>
        <w:t>Listening 19</w:t>
      </w:r>
      <w:r>
        <w:rPr>
          <w:rFonts w:hint="eastAsia"/>
          <w:sz w:val="24"/>
        </w:rPr>
        <w:t>,</w:t>
      </w:r>
      <w:r>
        <w:rPr>
          <w:sz w:val="24"/>
        </w:rPr>
        <w:t xml:space="preserve"> Speaking 19</w:t>
      </w:r>
      <w:r>
        <w:rPr>
          <w:rFonts w:hint="eastAsia"/>
          <w:sz w:val="24"/>
        </w:rPr>
        <w:t xml:space="preserve">, </w:t>
      </w:r>
      <w:r>
        <w:rPr>
          <w:sz w:val="24"/>
        </w:rPr>
        <w:t>Writing 23</w:t>
      </w:r>
      <w:r>
        <w:rPr>
          <w:rFonts w:hint="eastAsia"/>
          <w:sz w:val="24"/>
        </w:rPr>
        <w:t>)</w:t>
      </w:r>
    </w:p>
    <w:p>
      <w:pPr>
        <w:spacing w:line="360" w:lineRule="auto"/>
        <w:ind w:firstLine="360"/>
        <w:rPr>
          <w:sz w:val="24"/>
        </w:rPr>
      </w:pPr>
      <w:r>
        <w:rPr>
          <w:sz w:val="24"/>
        </w:rPr>
        <w:t xml:space="preserve">Cambridge </w:t>
      </w:r>
      <w:r>
        <w:rPr>
          <w:rFonts w:hint="eastAsia"/>
          <w:sz w:val="24"/>
        </w:rPr>
        <w:t xml:space="preserve">English Advanced </w:t>
      </w:r>
      <w:r>
        <w:rPr>
          <w:sz w:val="24"/>
        </w:rPr>
        <w:t xml:space="preserve">CAE (C1) 176, no sub-test under 169 </w:t>
      </w:r>
    </w:p>
    <w:p>
      <w:pPr>
        <w:spacing w:line="360" w:lineRule="auto"/>
        <w:ind w:firstLine="360"/>
        <w:rPr>
          <w:sz w:val="24"/>
        </w:rPr>
      </w:pPr>
      <w:r>
        <w:rPr>
          <w:sz w:val="24"/>
        </w:rPr>
        <w:t xml:space="preserve">Cambridge </w:t>
      </w:r>
      <w:r>
        <w:rPr>
          <w:rFonts w:hint="eastAsia"/>
          <w:sz w:val="24"/>
        </w:rPr>
        <w:t xml:space="preserve">English Proficiency </w:t>
      </w:r>
      <w:r>
        <w:rPr>
          <w:sz w:val="24"/>
        </w:rPr>
        <w:t xml:space="preserve">CPE (C2) </w:t>
      </w:r>
      <w:r>
        <w:rPr>
          <w:rFonts w:hint="eastAsia"/>
          <w:sz w:val="24"/>
        </w:rPr>
        <w:t>1</w:t>
      </w:r>
      <w:r>
        <w:rPr>
          <w:sz w:val="24"/>
        </w:rPr>
        <w:t xml:space="preserve">76, no sub-test under 169 </w:t>
      </w:r>
    </w:p>
    <w:p>
      <w:pPr>
        <w:spacing w:line="360" w:lineRule="auto"/>
        <w:ind w:firstLine="360"/>
        <w:rPr>
          <w:sz w:val="24"/>
        </w:rPr>
      </w:pPr>
      <w:r>
        <w:rPr>
          <w:sz w:val="24"/>
        </w:rPr>
        <w:t xml:space="preserve">Pearson 60, no sub-test under 59 </w:t>
      </w:r>
    </w:p>
    <w:p>
      <w:pPr>
        <w:spacing w:line="360" w:lineRule="auto"/>
        <w:ind w:firstLine="360"/>
        <w:rPr>
          <w:sz w:val="24"/>
        </w:rPr>
      </w:pPr>
      <w:r>
        <w:rPr>
          <w:rFonts w:hint="eastAsia"/>
          <w:sz w:val="24"/>
        </w:rPr>
        <w:t>（2）参加语言预科：</w:t>
      </w:r>
    </w:p>
    <w:p>
      <w:pPr>
        <w:spacing w:line="360" w:lineRule="auto"/>
        <w:ind w:firstLine="360"/>
        <w:rPr>
          <w:sz w:val="24"/>
        </w:rPr>
      </w:pPr>
      <w:r>
        <w:rPr>
          <w:sz w:val="24"/>
        </w:rPr>
        <w:t xml:space="preserve">Trinity London ISE ISE II at Pass, with Pass in all sub-tests </w:t>
      </w:r>
    </w:p>
    <w:p>
      <w:pPr>
        <w:spacing w:line="360" w:lineRule="auto"/>
        <w:ind w:firstLine="360"/>
        <w:rPr>
          <w:sz w:val="24"/>
        </w:rPr>
      </w:pPr>
      <w:r>
        <w:rPr>
          <w:rFonts w:hint="eastAsia"/>
          <w:sz w:val="24"/>
        </w:rPr>
        <w:t>IB</w:t>
      </w:r>
      <w:r>
        <w:rPr>
          <w:sz w:val="24"/>
        </w:rPr>
        <w:t>T</w:t>
      </w:r>
      <w:r>
        <w:rPr>
          <w:rFonts w:hint="eastAsia"/>
          <w:sz w:val="24"/>
        </w:rPr>
        <w:t xml:space="preserve"> T</w:t>
      </w:r>
      <w:r>
        <w:rPr>
          <w:sz w:val="24"/>
        </w:rPr>
        <w:t>OEFL80</w:t>
      </w:r>
      <w:r>
        <w:rPr>
          <w:rFonts w:hint="eastAsia"/>
          <w:sz w:val="24"/>
        </w:rPr>
        <w:t xml:space="preserve"> (</w:t>
      </w:r>
      <w:r>
        <w:rPr>
          <w:sz w:val="24"/>
        </w:rPr>
        <w:t>Reading 19</w:t>
      </w:r>
      <w:r>
        <w:rPr>
          <w:rFonts w:hint="eastAsia"/>
          <w:sz w:val="24"/>
        </w:rPr>
        <w:t xml:space="preserve">, </w:t>
      </w:r>
      <w:r>
        <w:rPr>
          <w:sz w:val="24"/>
        </w:rPr>
        <w:t>Listening 17</w:t>
      </w:r>
      <w:r>
        <w:rPr>
          <w:rFonts w:hint="eastAsia"/>
          <w:sz w:val="24"/>
        </w:rPr>
        <w:t xml:space="preserve">, </w:t>
      </w:r>
      <w:r>
        <w:rPr>
          <w:sz w:val="24"/>
        </w:rPr>
        <w:t>Speaking 17</w:t>
      </w:r>
      <w:r>
        <w:rPr>
          <w:rFonts w:hint="eastAsia"/>
          <w:sz w:val="24"/>
        </w:rPr>
        <w:t>,</w:t>
      </w:r>
      <w:r>
        <w:rPr>
          <w:sz w:val="24"/>
        </w:rPr>
        <w:t xml:space="preserve"> Writing 20</w:t>
      </w:r>
      <w:r>
        <w:rPr>
          <w:rFonts w:hint="eastAsia"/>
          <w:sz w:val="24"/>
        </w:rPr>
        <w:t>)</w:t>
      </w:r>
    </w:p>
    <w:p>
      <w:pPr>
        <w:spacing w:line="360" w:lineRule="auto"/>
        <w:ind w:firstLine="360"/>
        <w:rPr>
          <w:sz w:val="24"/>
        </w:rPr>
      </w:pPr>
      <w:r>
        <w:rPr>
          <w:sz w:val="24"/>
        </w:rPr>
        <w:t xml:space="preserve">Cambridge </w:t>
      </w:r>
      <w:r>
        <w:rPr>
          <w:rFonts w:hint="eastAsia"/>
          <w:sz w:val="24"/>
        </w:rPr>
        <w:t>English Advanced</w:t>
      </w:r>
      <w:r>
        <w:rPr>
          <w:sz w:val="24"/>
        </w:rPr>
        <w:t xml:space="preserve"> CAE (C1)Overall 170, no sub-test under 165 </w:t>
      </w:r>
    </w:p>
    <w:p>
      <w:pPr>
        <w:spacing w:line="360" w:lineRule="auto"/>
        <w:ind w:firstLine="360"/>
        <w:rPr>
          <w:sz w:val="24"/>
        </w:rPr>
      </w:pPr>
      <w:r>
        <w:rPr>
          <w:sz w:val="24"/>
        </w:rPr>
        <w:t xml:space="preserve">Cambridge </w:t>
      </w:r>
      <w:r>
        <w:rPr>
          <w:rFonts w:hint="eastAsia"/>
          <w:sz w:val="24"/>
        </w:rPr>
        <w:t>English Proficiency</w:t>
      </w:r>
      <w:r>
        <w:rPr>
          <w:sz w:val="24"/>
        </w:rPr>
        <w:t xml:space="preserve"> CPE (C2)Overall 170, no sub-test under 165 </w:t>
      </w:r>
    </w:p>
    <w:p>
      <w:pPr>
        <w:spacing w:line="360" w:lineRule="auto"/>
        <w:ind w:firstLine="360"/>
        <w:rPr>
          <w:sz w:val="24"/>
        </w:rPr>
      </w:pPr>
      <w:r>
        <w:rPr>
          <w:sz w:val="24"/>
        </w:rPr>
        <w:t>Pearson 55, no sub-test under 55</w:t>
      </w:r>
    </w:p>
    <w:p>
      <w:pPr>
        <w:spacing w:line="360" w:lineRule="auto"/>
        <w:ind w:firstLine="360"/>
        <w:rPr>
          <w:b/>
          <w:bCs/>
          <w:sz w:val="24"/>
        </w:rPr>
      </w:pPr>
      <w:r>
        <w:rPr>
          <w:b/>
          <w:bCs/>
          <w:sz w:val="24"/>
        </w:rPr>
        <w:t>个别格大专业可订立更</w:t>
      </w:r>
      <w:bookmarkStart w:id="0" w:name="_GoBack"/>
      <w:bookmarkEnd w:id="0"/>
      <w:r>
        <w:rPr>
          <w:b/>
          <w:bCs/>
          <w:sz w:val="24"/>
        </w:rPr>
        <w:t>高要求</w:t>
      </w:r>
      <w:r>
        <w:rPr>
          <w:rFonts w:hint="eastAsia"/>
          <w:b/>
          <w:bCs/>
          <w:sz w:val="24"/>
        </w:rPr>
        <w:t>，</w:t>
      </w:r>
      <w:r>
        <w:rPr>
          <w:b/>
          <w:bCs/>
          <w:sz w:val="24"/>
        </w:rPr>
        <w:t>详情请参阅</w:t>
      </w:r>
      <w:r>
        <w:rPr>
          <w:b/>
          <w:bCs/>
        </w:rPr>
        <w:fldChar w:fldCharType="begin"/>
      </w:r>
      <w:r>
        <w:rPr>
          <w:b/>
          <w:bCs/>
        </w:rPr>
        <w:instrText xml:space="preserve"> HYPERLINK "https://www.gla.ac.uk/international/englishlanguage/requirements/" </w:instrText>
      </w:r>
      <w:r>
        <w:rPr>
          <w:b/>
          <w:bCs/>
        </w:rPr>
        <w:fldChar w:fldCharType="separate"/>
      </w:r>
      <w:r>
        <w:rPr>
          <w:rStyle w:val="7"/>
          <w:b/>
          <w:bCs/>
          <w:sz w:val="24"/>
        </w:rPr>
        <w:t>https://www.gla.ac.uk/international/englishlanguage/requirements/</w:t>
      </w:r>
      <w:r>
        <w:rPr>
          <w:rStyle w:val="8"/>
          <w:b/>
          <w:bCs/>
          <w:sz w:val="24"/>
        </w:rPr>
        <w:fldChar w:fldCharType="end"/>
      </w:r>
      <w:r>
        <w:rPr>
          <w:rFonts w:hint="eastAsia"/>
          <w:b/>
          <w:bCs/>
          <w:sz w:val="24"/>
        </w:rPr>
        <w:t>。</w:t>
      </w:r>
    </w:p>
    <w:p>
      <w:pPr>
        <w:spacing w:line="360" w:lineRule="auto"/>
        <w:ind w:firstLine="420"/>
        <w:rPr>
          <w:rFonts w:asciiTheme="minorEastAsia" w:hAnsiTheme="minorEastAsia"/>
          <w:sz w:val="24"/>
        </w:rPr>
      </w:pPr>
      <w:r>
        <w:rPr>
          <w:rFonts w:hint="eastAsia" w:asciiTheme="minorEastAsia" w:hAnsiTheme="minorEastAsia"/>
          <w:sz w:val="24"/>
        </w:rPr>
        <w:t>（三）两校均认可的硕士学位、研究计划评估、面试等。</w:t>
      </w:r>
    </w:p>
    <w:p>
      <w:pPr>
        <w:spacing w:line="360" w:lineRule="auto"/>
        <w:ind w:firstLine="420"/>
        <w:rPr>
          <w:rFonts w:asciiTheme="minorEastAsia" w:hAnsiTheme="minorEastAsia"/>
          <w:sz w:val="24"/>
        </w:rPr>
      </w:pPr>
      <w:r>
        <w:rPr>
          <w:rFonts w:hint="eastAsia" w:asciiTheme="minorEastAsia" w:hAnsiTheme="minorEastAsia"/>
          <w:sz w:val="24"/>
        </w:rPr>
        <w:t>二、提交材料说明</w:t>
      </w:r>
    </w:p>
    <w:p>
      <w:pPr>
        <w:spacing w:line="360" w:lineRule="auto"/>
        <w:ind w:firstLine="420"/>
        <w:rPr>
          <w:rFonts w:hint="eastAsia" w:asciiTheme="minorEastAsia" w:hAnsiTheme="minorEastAsia"/>
          <w:sz w:val="24"/>
        </w:rPr>
      </w:pPr>
      <w:r>
        <w:rPr>
          <w:rFonts w:hint="eastAsia" w:asciiTheme="minorEastAsia" w:hAnsiTheme="minorEastAsia"/>
          <w:sz w:val="24"/>
        </w:rPr>
        <w:t>（一）2022年南开格拉斯哥双博士项目报名表电子版（附件一）</w:t>
      </w:r>
    </w:p>
    <w:p>
      <w:pPr>
        <w:numPr>
          <w:ilvl w:val="0"/>
          <w:numId w:val="0"/>
        </w:numPr>
        <w:spacing w:line="360" w:lineRule="auto"/>
        <w:ind w:firstLine="420" w:firstLineChars="0"/>
        <w:rPr>
          <w:rFonts w:asciiTheme="minorEastAsia" w:hAnsiTheme="minorEastAsia"/>
          <w:sz w:val="24"/>
        </w:rPr>
      </w:pPr>
      <w:r>
        <w:rPr>
          <w:rFonts w:hint="eastAsia" w:asciiTheme="minorEastAsia" w:hAnsiTheme="minorEastAsia"/>
          <w:sz w:val="24"/>
          <w:lang w:eastAsia="zh-CN"/>
        </w:rPr>
        <w:t>（</w:t>
      </w:r>
      <w:r>
        <w:rPr>
          <w:rFonts w:hint="eastAsia" w:asciiTheme="minorEastAsia" w:hAnsiTheme="minorEastAsia"/>
          <w:sz w:val="24"/>
          <w:lang w:val="en-US" w:eastAsia="zh-CN"/>
        </w:rPr>
        <w:t>二</w:t>
      </w:r>
      <w:r>
        <w:rPr>
          <w:rFonts w:hint="eastAsia" w:asciiTheme="minorEastAsia" w:hAnsiTheme="minorEastAsia"/>
          <w:sz w:val="24"/>
          <w:lang w:eastAsia="zh-CN"/>
        </w:rPr>
        <w:t>）</w:t>
      </w:r>
      <w:r>
        <w:rPr>
          <w:rFonts w:hint="eastAsia" w:asciiTheme="minorEastAsia" w:hAnsiTheme="minorEastAsia"/>
          <w:sz w:val="24"/>
        </w:rPr>
        <w:t>语言成绩</w:t>
      </w:r>
    </w:p>
    <w:p>
      <w:pPr>
        <w:numPr>
          <w:ilvl w:val="0"/>
          <w:numId w:val="0"/>
        </w:numPr>
        <w:spacing w:line="360" w:lineRule="auto"/>
        <w:ind w:firstLine="420" w:firstLineChars="0"/>
        <w:rPr>
          <w:rFonts w:asciiTheme="minorEastAsia" w:hAnsiTheme="minorEastAsia"/>
          <w:sz w:val="24"/>
        </w:rPr>
      </w:pPr>
      <w:r>
        <w:rPr>
          <w:rFonts w:hint="eastAsia" w:asciiTheme="minorEastAsia" w:hAnsiTheme="minorEastAsia"/>
          <w:sz w:val="24"/>
          <w:lang w:eastAsia="zh-CN"/>
        </w:rPr>
        <w:t>（</w:t>
      </w:r>
      <w:r>
        <w:rPr>
          <w:rFonts w:hint="eastAsia" w:asciiTheme="minorEastAsia" w:hAnsiTheme="minorEastAsia"/>
          <w:sz w:val="24"/>
          <w:lang w:val="en-US" w:eastAsia="zh-CN"/>
        </w:rPr>
        <w:t>三</w:t>
      </w:r>
      <w:r>
        <w:rPr>
          <w:rFonts w:hint="eastAsia" w:asciiTheme="minorEastAsia" w:hAnsiTheme="minorEastAsia"/>
          <w:sz w:val="24"/>
          <w:lang w:eastAsia="zh-CN"/>
        </w:rPr>
        <w:t>）</w:t>
      </w:r>
      <w:r>
        <w:rPr>
          <w:rFonts w:hint="eastAsia" w:asciiTheme="minorEastAsia" w:hAnsiTheme="minorEastAsia"/>
          <w:sz w:val="24"/>
        </w:rPr>
        <w:t>个人学术简历</w:t>
      </w:r>
    </w:p>
    <w:p>
      <w:pPr>
        <w:numPr>
          <w:ilvl w:val="0"/>
          <w:numId w:val="0"/>
        </w:numPr>
        <w:spacing w:line="360" w:lineRule="auto"/>
        <w:ind w:firstLine="420" w:firstLineChars="0"/>
        <w:rPr>
          <w:rFonts w:asciiTheme="minorEastAsia" w:hAnsiTheme="minorEastAsia"/>
          <w:sz w:val="24"/>
        </w:rPr>
      </w:pPr>
      <w:r>
        <w:rPr>
          <w:rFonts w:hint="eastAsia" w:asciiTheme="minorEastAsia" w:hAnsiTheme="minorEastAsia"/>
          <w:sz w:val="24"/>
          <w:lang w:eastAsia="zh-CN"/>
        </w:rPr>
        <w:t>（</w:t>
      </w:r>
      <w:r>
        <w:rPr>
          <w:rFonts w:hint="eastAsia" w:asciiTheme="minorEastAsia" w:hAnsiTheme="minorEastAsia"/>
          <w:sz w:val="24"/>
          <w:lang w:val="en-US" w:eastAsia="zh-CN"/>
        </w:rPr>
        <w:t>四</w:t>
      </w:r>
      <w:r>
        <w:rPr>
          <w:rFonts w:hint="eastAsia" w:asciiTheme="minorEastAsia" w:hAnsiTheme="minorEastAsia"/>
          <w:sz w:val="24"/>
          <w:lang w:eastAsia="zh-CN"/>
        </w:rPr>
        <w:t>）</w:t>
      </w:r>
      <w:r>
        <w:rPr>
          <w:rFonts w:hint="eastAsia" w:asciiTheme="minorEastAsia" w:hAnsiTheme="minorEastAsia"/>
          <w:sz w:val="24"/>
        </w:rPr>
        <w:t>英文研究计划（需有南开导师签字，参考附件二</w:t>
      </w:r>
      <w:r>
        <w:rPr>
          <w:rFonts w:cstheme="minorHAnsi"/>
          <w:i/>
          <w:sz w:val="24"/>
        </w:rPr>
        <w:t>Guidelines_for_writing_PhD_Proposals</w:t>
      </w:r>
      <w:r>
        <w:rPr>
          <w:rFonts w:hint="eastAsia" w:asciiTheme="minorEastAsia" w:hAnsiTheme="minorEastAsia"/>
          <w:sz w:val="24"/>
        </w:rPr>
        <w:t>）</w:t>
      </w:r>
    </w:p>
    <w:p>
      <w:pPr>
        <w:numPr>
          <w:ilvl w:val="0"/>
          <w:numId w:val="0"/>
        </w:numPr>
        <w:spacing w:line="360" w:lineRule="auto"/>
        <w:ind w:firstLine="420" w:firstLineChars="0"/>
        <w:rPr>
          <w:rFonts w:asciiTheme="minorEastAsia" w:hAnsiTheme="minorEastAsia"/>
          <w:sz w:val="24"/>
        </w:rPr>
      </w:pPr>
      <w:r>
        <w:rPr>
          <w:rFonts w:hint="eastAsia" w:asciiTheme="minorEastAsia" w:hAnsiTheme="minorEastAsia"/>
          <w:sz w:val="24"/>
          <w:lang w:eastAsia="zh-CN"/>
        </w:rPr>
        <w:t>（</w:t>
      </w:r>
      <w:r>
        <w:rPr>
          <w:rFonts w:hint="eastAsia" w:asciiTheme="minorEastAsia" w:hAnsiTheme="minorEastAsia"/>
          <w:sz w:val="24"/>
          <w:lang w:val="en-US" w:eastAsia="zh-CN"/>
        </w:rPr>
        <w:t>五</w:t>
      </w:r>
      <w:r>
        <w:rPr>
          <w:rFonts w:hint="eastAsia" w:asciiTheme="minorEastAsia" w:hAnsiTheme="minorEastAsia"/>
          <w:sz w:val="24"/>
          <w:lang w:eastAsia="zh-CN"/>
        </w:rPr>
        <w:t>）</w:t>
      </w:r>
      <w:r>
        <w:rPr>
          <w:rFonts w:hint="eastAsia" w:asciiTheme="minorEastAsia" w:hAnsiTheme="minorEastAsia"/>
          <w:sz w:val="24"/>
        </w:rPr>
        <w:t>首次招生的专业应由学院提交英文版必修课程简介及大纲（参考附件三模板）。</w:t>
      </w:r>
    </w:p>
    <w:p>
      <w:pPr>
        <w:numPr>
          <w:ilvl w:val="0"/>
          <w:numId w:val="0"/>
        </w:numPr>
        <w:spacing w:line="360" w:lineRule="auto"/>
        <w:ind w:firstLine="420" w:firstLineChars="0"/>
        <w:rPr>
          <w:rFonts w:asciiTheme="minorEastAsia" w:hAnsiTheme="minorEastAsia"/>
          <w:sz w:val="24"/>
        </w:rPr>
      </w:pPr>
      <w:r>
        <w:rPr>
          <w:rFonts w:hint="eastAsia" w:asciiTheme="minorEastAsia" w:hAnsiTheme="minorEastAsia"/>
          <w:sz w:val="24"/>
          <w:lang w:eastAsia="zh-CN"/>
        </w:rPr>
        <w:t>（</w:t>
      </w:r>
      <w:r>
        <w:rPr>
          <w:rFonts w:hint="eastAsia" w:asciiTheme="minorEastAsia" w:hAnsiTheme="minorEastAsia"/>
          <w:sz w:val="24"/>
          <w:lang w:val="en-US" w:eastAsia="zh-CN"/>
        </w:rPr>
        <w:t>六</w:t>
      </w:r>
      <w:r>
        <w:rPr>
          <w:rFonts w:hint="eastAsia" w:asciiTheme="minorEastAsia" w:hAnsiTheme="minorEastAsia"/>
          <w:sz w:val="24"/>
          <w:lang w:eastAsia="zh-CN"/>
        </w:rPr>
        <w:t>）</w:t>
      </w:r>
      <w:r>
        <w:rPr>
          <w:rFonts w:hint="eastAsia" w:asciiTheme="minorEastAsia" w:hAnsiTheme="minorEastAsia"/>
          <w:sz w:val="24"/>
        </w:rPr>
        <w:t>申请人材料需在</w:t>
      </w:r>
      <w:r>
        <w:rPr>
          <w:rFonts w:hint="eastAsia" w:asciiTheme="minorEastAsia" w:hAnsiTheme="minorEastAsia"/>
          <w:b/>
          <w:sz w:val="24"/>
        </w:rPr>
        <w:t>2022年6月30日</w:t>
      </w:r>
      <w:r>
        <w:rPr>
          <w:rFonts w:hint="eastAsia" w:asciiTheme="minorEastAsia" w:hAnsiTheme="minorEastAsia"/>
          <w:sz w:val="24"/>
        </w:rPr>
        <w:t>前将上述电子版材料提交给各学院负责人。</w:t>
      </w:r>
    </w:p>
    <w:p>
      <w:pPr>
        <w:spacing w:line="360" w:lineRule="auto"/>
        <w:ind w:firstLine="420"/>
        <w:rPr>
          <w:rFonts w:asciiTheme="minorEastAsia" w:hAnsiTheme="minorEastAsia"/>
          <w:sz w:val="24"/>
        </w:rPr>
      </w:pPr>
      <w:r>
        <w:rPr>
          <w:rFonts w:hint="eastAsia" w:asciiTheme="minorEastAsia" w:hAnsiTheme="minorEastAsia"/>
          <w:sz w:val="24"/>
        </w:rPr>
        <w:t>三、费用说明</w:t>
      </w:r>
    </w:p>
    <w:p>
      <w:pPr>
        <w:spacing w:line="360" w:lineRule="auto"/>
        <w:ind w:firstLine="420"/>
        <w:rPr>
          <w:rFonts w:asciiTheme="minorEastAsia" w:hAnsiTheme="minorEastAsia"/>
          <w:sz w:val="24"/>
        </w:rPr>
      </w:pPr>
      <w:r>
        <w:rPr>
          <w:rFonts w:hint="eastAsia" w:asciiTheme="minorEastAsia" w:hAnsiTheme="minorEastAsia"/>
          <w:sz w:val="24"/>
        </w:rPr>
        <w:t>（一）格拉斯哥大学学费按照学院专业每年略有不同。2021至2022年度，</w:t>
      </w:r>
      <w:r>
        <w:rPr>
          <w:rFonts w:asciiTheme="minorEastAsia" w:hAnsiTheme="minorEastAsia"/>
          <w:sz w:val="24"/>
        </w:rPr>
        <w:t>现代语言与文化学院</w:t>
      </w:r>
      <w:r>
        <w:rPr>
          <w:rFonts w:hint="eastAsia" w:asciiTheme="minorEastAsia" w:hAnsiTheme="minorEastAsia"/>
          <w:sz w:val="24"/>
        </w:rPr>
        <w:t>的学费为每年19,350英镑，除录取通知书中做出专门说明，否则每名学生都应在格拉斯哥大学学习期间支付相关费用。</w:t>
      </w:r>
    </w:p>
    <w:p>
      <w:pPr>
        <w:spacing w:line="360" w:lineRule="auto"/>
        <w:ind w:firstLine="420"/>
      </w:pPr>
      <w:r>
        <w:rPr>
          <w:rFonts w:hint="eastAsia" w:asciiTheme="minorEastAsia" w:hAnsiTheme="minorEastAsia"/>
          <w:sz w:val="24"/>
        </w:rPr>
        <w:t>（二）进入双博士项目的研究生应正常缴纳南开大学学费。</w:t>
      </w:r>
    </w:p>
    <w:p>
      <w:pPr>
        <w:spacing w:line="360" w:lineRule="auto"/>
        <w:ind w:firstLine="420"/>
        <w:rPr>
          <w:rFonts w:asciiTheme="minorEastAsia" w:hAnsiTheme="minorEastAsia"/>
          <w:sz w:val="24"/>
        </w:rPr>
      </w:pPr>
      <w:r>
        <w:rPr>
          <w:rFonts w:hint="eastAsia" w:asciiTheme="minorEastAsia" w:hAnsiTheme="minorEastAsia"/>
          <w:sz w:val="24"/>
        </w:rPr>
        <w:t>四、教学培养</w:t>
      </w:r>
    </w:p>
    <w:p>
      <w:pPr>
        <w:spacing w:line="360" w:lineRule="auto"/>
        <w:ind w:firstLine="420"/>
        <w:rPr>
          <w:rFonts w:asciiTheme="minorEastAsia" w:hAnsiTheme="minorEastAsia"/>
          <w:sz w:val="24"/>
        </w:rPr>
      </w:pPr>
      <w:r>
        <w:rPr>
          <w:rFonts w:hint="eastAsia" w:asciiTheme="minorEastAsia" w:hAnsiTheme="minorEastAsia"/>
          <w:sz w:val="24"/>
        </w:rPr>
        <w:t>（一）学生在两所大学学习的年限相等，应以“2+2”和/或“1+2+1”的方式在两所大学轮流学习，其中第一年的学业必须在南开大学完成，所有学生须通过南开大学依照教育部批准的研究生选拔程序要求方可录取。</w:t>
      </w:r>
    </w:p>
    <w:p>
      <w:pPr>
        <w:spacing w:line="360" w:lineRule="auto"/>
        <w:ind w:firstLine="420"/>
        <w:rPr>
          <w:rFonts w:asciiTheme="minorEastAsia" w:hAnsiTheme="minorEastAsia"/>
          <w:sz w:val="24"/>
        </w:rPr>
      </w:pPr>
      <w:r>
        <w:rPr>
          <w:rFonts w:hint="eastAsia" w:asciiTheme="minorEastAsia" w:hAnsiTheme="minorEastAsia"/>
          <w:sz w:val="24"/>
        </w:rPr>
        <w:t>（二）双方的指导工作</w:t>
      </w:r>
      <w:r>
        <w:rPr>
          <w:rFonts w:asciiTheme="minorEastAsia" w:hAnsiTheme="minorEastAsia"/>
          <w:sz w:val="24"/>
        </w:rPr>
        <w:t xml:space="preserve">: </w:t>
      </w:r>
      <w:r>
        <w:rPr>
          <w:rFonts w:hint="eastAsia" w:asciiTheme="minorEastAsia" w:hAnsiTheme="minorEastAsia"/>
          <w:sz w:val="24"/>
        </w:rPr>
        <w:t>格拉斯哥大学和南开大学各为学生指派一名导师</w:t>
      </w:r>
      <w:r>
        <w:rPr>
          <w:rFonts w:asciiTheme="minorEastAsia" w:hAnsiTheme="minorEastAsia"/>
          <w:sz w:val="24"/>
        </w:rPr>
        <w:t>,</w:t>
      </w:r>
      <w:r>
        <w:rPr>
          <w:rFonts w:hint="eastAsia" w:asciiTheme="minorEastAsia" w:hAnsiTheme="minorEastAsia"/>
          <w:sz w:val="24"/>
        </w:rPr>
        <w:t>能够用英语提供指导。</w:t>
      </w:r>
    </w:p>
    <w:p>
      <w:pPr>
        <w:spacing w:line="360" w:lineRule="auto"/>
        <w:ind w:right="120"/>
        <w:jc w:val="right"/>
        <w:rPr>
          <w:rFonts w:asciiTheme="minorEastAsia" w:hAnsiTheme="minorEastAsia"/>
          <w:sz w:val="24"/>
        </w:rPr>
      </w:pPr>
    </w:p>
    <w:p>
      <w:pPr>
        <w:spacing w:line="360" w:lineRule="auto"/>
        <w:jc w:val="right"/>
        <w:rPr>
          <w:rFonts w:asciiTheme="minorEastAsia" w:hAnsiTheme="minorEastAsia"/>
          <w:sz w:val="24"/>
        </w:rPr>
      </w:pPr>
      <w:r>
        <w:rPr>
          <w:rFonts w:hint="eastAsia" w:asciiTheme="minorEastAsia" w:hAnsiTheme="minorEastAsia"/>
          <w:sz w:val="24"/>
        </w:rPr>
        <w:t>南开大学研究生院</w:t>
      </w:r>
    </w:p>
    <w:p>
      <w:pPr>
        <w:spacing w:line="360" w:lineRule="auto"/>
        <w:jc w:val="right"/>
        <w:rPr>
          <w:rFonts w:hint="default" w:asciiTheme="minorEastAsia" w:hAnsiTheme="minorEastAsia" w:eastAsiaTheme="minorEastAsia"/>
          <w:sz w:val="24"/>
          <w:lang w:val="en-US" w:eastAsia="zh-CN"/>
        </w:rPr>
      </w:pPr>
      <w:r>
        <w:rPr>
          <w:rFonts w:hint="eastAsia" w:asciiTheme="minorEastAsia" w:hAnsiTheme="minorEastAsia"/>
          <w:sz w:val="24"/>
        </w:rPr>
        <w:t>2022年</w:t>
      </w:r>
      <w:r>
        <w:rPr>
          <w:rFonts w:hint="eastAsia" w:asciiTheme="minorEastAsia" w:hAnsiTheme="minorEastAsia"/>
          <w:sz w:val="24"/>
          <w:lang w:val="en-US" w:eastAsia="zh-CN"/>
        </w:rPr>
        <w:t>4</w:t>
      </w:r>
      <w:r>
        <w:rPr>
          <w:rFonts w:hint="eastAsia" w:asciiTheme="minorEastAsia" w:hAnsiTheme="minorEastAsia"/>
          <w:sz w:val="24"/>
        </w:rPr>
        <w:t>月</w:t>
      </w:r>
      <w:r>
        <w:rPr>
          <w:rFonts w:hint="eastAsia" w:asciiTheme="minorEastAsia" w:hAnsiTheme="minorEastAsia"/>
          <w:sz w:val="24"/>
          <w:lang w:val="en-US" w:eastAsia="zh-CN"/>
        </w:rPr>
        <w:t>21日</w:t>
      </w:r>
    </w:p>
    <w:sectPr>
      <w:pgSz w:w="11906" w:h="16838"/>
      <w:pgMar w:top="1440" w:right="1026" w:bottom="1440" w:left="102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056ADE"/>
    <w:multiLevelType w:val="singleLevel"/>
    <w:tmpl w:val="80056ADE"/>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F7F85"/>
    <w:rsid w:val="000A2751"/>
    <w:rsid w:val="000A37B5"/>
    <w:rsid w:val="000E437B"/>
    <w:rsid w:val="000F4DCA"/>
    <w:rsid w:val="000F5453"/>
    <w:rsid w:val="00124033"/>
    <w:rsid w:val="00140ECE"/>
    <w:rsid w:val="001511F9"/>
    <w:rsid w:val="00164771"/>
    <w:rsid w:val="00193009"/>
    <w:rsid w:val="00193B17"/>
    <w:rsid w:val="00194DAF"/>
    <w:rsid w:val="00213882"/>
    <w:rsid w:val="00221CE5"/>
    <w:rsid w:val="00245B05"/>
    <w:rsid w:val="002918C7"/>
    <w:rsid w:val="00296CDB"/>
    <w:rsid w:val="002A41BB"/>
    <w:rsid w:val="002B2359"/>
    <w:rsid w:val="002C3AB8"/>
    <w:rsid w:val="002E7520"/>
    <w:rsid w:val="00301542"/>
    <w:rsid w:val="00301D87"/>
    <w:rsid w:val="003654E1"/>
    <w:rsid w:val="00392D21"/>
    <w:rsid w:val="003B7E6C"/>
    <w:rsid w:val="004364B1"/>
    <w:rsid w:val="00450032"/>
    <w:rsid w:val="0045763F"/>
    <w:rsid w:val="00462254"/>
    <w:rsid w:val="00472ECD"/>
    <w:rsid w:val="00505651"/>
    <w:rsid w:val="00515DFE"/>
    <w:rsid w:val="00530717"/>
    <w:rsid w:val="00532B61"/>
    <w:rsid w:val="00551AA0"/>
    <w:rsid w:val="0056732E"/>
    <w:rsid w:val="005809EB"/>
    <w:rsid w:val="005C29ED"/>
    <w:rsid w:val="005C4EF5"/>
    <w:rsid w:val="005C70C5"/>
    <w:rsid w:val="00614E22"/>
    <w:rsid w:val="0062424F"/>
    <w:rsid w:val="006560AB"/>
    <w:rsid w:val="006612C3"/>
    <w:rsid w:val="00693EE3"/>
    <w:rsid w:val="00697414"/>
    <w:rsid w:val="006C0F35"/>
    <w:rsid w:val="006F709A"/>
    <w:rsid w:val="00706BA5"/>
    <w:rsid w:val="007226C7"/>
    <w:rsid w:val="007337F7"/>
    <w:rsid w:val="00746712"/>
    <w:rsid w:val="007A21A5"/>
    <w:rsid w:val="007C7CAB"/>
    <w:rsid w:val="007D1F2C"/>
    <w:rsid w:val="007F2298"/>
    <w:rsid w:val="0082750A"/>
    <w:rsid w:val="00880993"/>
    <w:rsid w:val="008C2601"/>
    <w:rsid w:val="008C5DB0"/>
    <w:rsid w:val="008F2CF6"/>
    <w:rsid w:val="0094013F"/>
    <w:rsid w:val="00945586"/>
    <w:rsid w:val="009A3158"/>
    <w:rsid w:val="009C4B9E"/>
    <w:rsid w:val="009D15D9"/>
    <w:rsid w:val="009D2E57"/>
    <w:rsid w:val="009E370E"/>
    <w:rsid w:val="00A2245B"/>
    <w:rsid w:val="00A43F26"/>
    <w:rsid w:val="00A57EBB"/>
    <w:rsid w:val="00A67810"/>
    <w:rsid w:val="00A863FB"/>
    <w:rsid w:val="00A91572"/>
    <w:rsid w:val="00AC17FF"/>
    <w:rsid w:val="00AF6E16"/>
    <w:rsid w:val="00B05B5F"/>
    <w:rsid w:val="00B2491F"/>
    <w:rsid w:val="00B305E6"/>
    <w:rsid w:val="00B33E4D"/>
    <w:rsid w:val="00B3504D"/>
    <w:rsid w:val="00B36F29"/>
    <w:rsid w:val="00B557B8"/>
    <w:rsid w:val="00B615AB"/>
    <w:rsid w:val="00B655DA"/>
    <w:rsid w:val="00B71737"/>
    <w:rsid w:val="00BE1A12"/>
    <w:rsid w:val="00BE5251"/>
    <w:rsid w:val="00BF7F85"/>
    <w:rsid w:val="00CA795F"/>
    <w:rsid w:val="00CA7FC7"/>
    <w:rsid w:val="00CC5A03"/>
    <w:rsid w:val="00D57DD8"/>
    <w:rsid w:val="00DA4D8A"/>
    <w:rsid w:val="00DB016D"/>
    <w:rsid w:val="00DB1F07"/>
    <w:rsid w:val="00DB28BF"/>
    <w:rsid w:val="00DE0F7E"/>
    <w:rsid w:val="00E1668F"/>
    <w:rsid w:val="00E67A83"/>
    <w:rsid w:val="00E70754"/>
    <w:rsid w:val="00EB7FE1"/>
    <w:rsid w:val="00F02681"/>
    <w:rsid w:val="00F13BF0"/>
    <w:rsid w:val="00F270C7"/>
    <w:rsid w:val="00F75234"/>
    <w:rsid w:val="00F77865"/>
    <w:rsid w:val="00F96254"/>
    <w:rsid w:val="00FB64DF"/>
    <w:rsid w:val="16831E7C"/>
    <w:rsid w:val="1E8E0977"/>
    <w:rsid w:val="369072BE"/>
    <w:rsid w:val="3BE40A4E"/>
    <w:rsid w:val="550550A9"/>
    <w:rsid w:val="6B8B1486"/>
    <w:rsid w:val="77AB2B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0"/>
    <w:semiHidden/>
    <w:unhideWhenUsed/>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uiPriority w:val="99"/>
    <w:rPr>
      <w:color w:val="800080"/>
      <w:u w:val="single"/>
    </w:rPr>
  </w:style>
  <w:style w:type="character" w:styleId="8">
    <w:name w:val="Hyperlink"/>
    <w:basedOn w:val="6"/>
    <w:unhideWhenUsed/>
    <w:qFormat/>
    <w:uiPriority w:val="99"/>
    <w:rPr>
      <w:color w:val="0000FF" w:themeColor="hyperlink"/>
      <w:u w:val="single"/>
    </w:rPr>
  </w:style>
  <w:style w:type="character" w:customStyle="1" w:styleId="9">
    <w:name w:val="页眉 Char"/>
    <w:basedOn w:val="6"/>
    <w:link w:val="4"/>
    <w:semiHidden/>
    <w:uiPriority w:val="99"/>
    <w:rPr>
      <w:sz w:val="18"/>
      <w:szCs w:val="18"/>
    </w:rPr>
  </w:style>
  <w:style w:type="character" w:customStyle="1" w:styleId="10">
    <w:name w:val="页脚 Char"/>
    <w:basedOn w:val="6"/>
    <w:link w:val="3"/>
    <w:semiHidden/>
    <w:uiPriority w:val="99"/>
    <w:rPr>
      <w:sz w:val="18"/>
      <w:szCs w:val="18"/>
    </w:rPr>
  </w:style>
  <w:style w:type="paragraph" w:customStyle="1" w:styleId="1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893</Words>
  <Characters>1547</Characters>
  <Lines>12</Lines>
  <Paragraphs>3</Paragraphs>
  <TotalTime>1</TotalTime>
  <ScaleCrop>false</ScaleCrop>
  <LinksUpToDate>false</LinksUpToDate>
  <CharactersWithSpaces>1669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2020-09-05T06:08:00Z</dcterms:created>
  <dc:creator>LENOVO</dc:creator>
  <cp:lastModifiedBy>licj</cp:lastModifiedBy>
  <dcterms:modified xsi:type="dcterms:W3CDTF">2022-04-21T06:14:28Z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E701E60C67D64E6EBCC3E1E8291171B4</vt:lpwstr>
  </property>
</Properties>
</file>