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-151130</wp:posOffset>
            </wp:positionV>
            <wp:extent cx="810895" cy="824230"/>
            <wp:effectExtent l="0" t="0" r="8255" b="13970"/>
            <wp:wrapThrough wrapText="bothSides">
              <wp:wrapPolygon>
                <wp:start x="0" y="0"/>
                <wp:lineTo x="0" y="20968"/>
                <wp:lineTo x="21312" y="20968"/>
                <wp:lineTo x="21312" y="0"/>
                <wp:lineTo x="0" y="0"/>
              </wp:wrapPolygon>
            </wp:wrapThrough>
            <wp:docPr id="1" name="图片 5" descr="Nanka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Nankai 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2442845</wp:posOffset>
            </wp:positionH>
            <wp:positionV relativeFrom="paragraph">
              <wp:posOffset>-28575</wp:posOffset>
            </wp:positionV>
            <wp:extent cx="2990215" cy="586105"/>
            <wp:effectExtent l="0" t="0" r="635" b="4445"/>
            <wp:wrapSquare wrapText="bothSides"/>
            <wp:docPr id="2" name="图片 2" descr="Corporate-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orporate-Logo_RG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9021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/>
    <w:p>
      <w:pPr>
        <w:jc w:val="left"/>
      </w:pPr>
    </w:p>
    <w:p>
      <w:pPr>
        <w:jc w:val="left"/>
      </w:pPr>
    </w:p>
    <w:p>
      <w:pPr>
        <w:jc w:val="left"/>
      </w:pPr>
    </w:p>
    <w:p>
      <w:pPr>
        <w:ind w:left="1562" w:hanging="1562" w:hangingChars="300"/>
        <w:jc w:val="center"/>
        <w:rPr>
          <w:rFonts w:ascii="华文楷体" w:hAnsi="华文楷体" w:eastAsia="华文楷体"/>
          <w:b/>
          <w:sz w:val="52"/>
          <w:szCs w:val="52"/>
        </w:rPr>
      </w:pPr>
      <w:r>
        <w:rPr>
          <w:rFonts w:hint="eastAsia" w:ascii="华文楷体" w:hAnsi="华文楷体" w:eastAsia="华文楷体"/>
          <w:b/>
          <w:sz w:val="52"/>
          <w:szCs w:val="52"/>
        </w:rPr>
        <w:t>南开大学-香港</w:t>
      </w:r>
      <w:r>
        <w:rPr>
          <w:rFonts w:hint="eastAsia" w:ascii="华文楷体" w:hAnsi="华文楷体" w:eastAsia="华文楷体"/>
          <w:b/>
          <w:sz w:val="52"/>
          <w:szCs w:val="52"/>
          <w:lang w:val="en-US" w:eastAsia="zh-CN"/>
        </w:rPr>
        <w:t>理工</w:t>
      </w:r>
      <w:r>
        <w:rPr>
          <w:rFonts w:hint="eastAsia" w:ascii="华文楷体" w:hAnsi="华文楷体" w:eastAsia="华文楷体"/>
          <w:b/>
          <w:sz w:val="52"/>
          <w:szCs w:val="52"/>
        </w:rPr>
        <w:t>大学</w:t>
      </w:r>
    </w:p>
    <w:p>
      <w:pPr>
        <w:ind w:left="1441" w:hanging="1441" w:hangingChars="300"/>
        <w:jc w:val="center"/>
        <w:rPr>
          <w:rFonts w:ascii="华文楷体" w:hAnsi="华文楷体" w:eastAsia="华文楷体"/>
          <w:b/>
          <w:sz w:val="48"/>
          <w:szCs w:val="48"/>
        </w:rPr>
      </w:pPr>
      <w:r>
        <w:rPr>
          <w:rFonts w:hint="eastAsia" w:ascii="华文楷体" w:hAnsi="华文楷体" w:eastAsia="华文楷体"/>
          <w:b/>
          <w:sz w:val="48"/>
          <w:szCs w:val="48"/>
        </w:rPr>
        <w:t>联合培养博士研究生项目实施办法</w:t>
      </w:r>
    </w:p>
    <w:p>
      <w:pPr>
        <w:jc w:val="left"/>
      </w:pP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  <w:sz w:val="36"/>
          <w:szCs w:val="36"/>
        </w:rPr>
      </w:pPr>
    </w:p>
    <w:p>
      <w:pPr>
        <w:jc w:val="center"/>
        <w:rPr>
          <w:rFonts w:ascii="华文楷体" w:hAnsi="华文楷体" w:eastAsia="华文楷体"/>
          <w:sz w:val="36"/>
          <w:szCs w:val="36"/>
        </w:rPr>
      </w:pPr>
    </w:p>
    <w:p>
      <w:pPr>
        <w:jc w:val="center"/>
        <w:rPr>
          <w:rFonts w:ascii="华文楷体" w:hAnsi="华文楷体" w:eastAsia="华文楷体"/>
          <w:sz w:val="36"/>
          <w:szCs w:val="36"/>
        </w:rPr>
      </w:pPr>
      <w:r>
        <w:rPr>
          <w:rFonts w:hint="eastAsia" w:ascii="华文楷体" w:hAnsi="华文楷体" w:eastAsia="华文楷体"/>
          <w:sz w:val="36"/>
          <w:szCs w:val="36"/>
        </w:rPr>
        <w:t>南开大学 研究生院</w:t>
      </w:r>
    </w:p>
    <w:p>
      <w:pPr>
        <w:ind w:firstLine="2880" w:firstLineChars="800"/>
        <w:rPr>
          <w:rFonts w:ascii="华文楷体" w:hAnsi="华文楷体" w:eastAsia="华文楷体"/>
          <w:sz w:val="36"/>
          <w:szCs w:val="36"/>
        </w:rPr>
      </w:pPr>
      <w:r>
        <w:rPr>
          <w:rFonts w:hint="eastAsia" w:ascii="华文楷体" w:hAnsi="华文楷体" w:eastAsia="华文楷体"/>
          <w:sz w:val="36"/>
          <w:szCs w:val="36"/>
        </w:rPr>
        <w:t>二</w:t>
      </w:r>
      <w:r>
        <w:rPr>
          <w:rFonts w:hint="eastAsia" w:ascii="华文楷体" w:hAnsi="华文楷体" w:eastAsia="华文楷体"/>
          <w:sz w:val="36"/>
          <w:szCs w:val="36"/>
          <w:lang w:val="en-US" w:eastAsia="zh-CN"/>
        </w:rPr>
        <w:t>〇</w:t>
      </w:r>
      <w:r>
        <w:rPr>
          <w:rFonts w:hint="eastAsia" w:ascii="华文楷体" w:hAnsi="华文楷体" w:eastAsia="华文楷体"/>
          <w:sz w:val="36"/>
          <w:szCs w:val="36"/>
        </w:rPr>
        <w:t>二</w:t>
      </w:r>
      <w:r>
        <w:rPr>
          <w:rFonts w:hint="eastAsia" w:ascii="华文楷体" w:hAnsi="华文楷体" w:eastAsia="华文楷体"/>
          <w:sz w:val="36"/>
          <w:szCs w:val="36"/>
          <w:lang w:val="en-US" w:eastAsia="zh-CN"/>
        </w:rPr>
        <w:t>二</w:t>
      </w:r>
      <w:r>
        <w:rPr>
          <w:rFonts w:hint="eastAsia" w:ascii="华文楷体" w:hAnsi="华文楷体" w:eastAsia="华文楷体"/>
          <w:sz w:val="36"/>
          <w:szCs w:val="36"/>
        </w:rPr>
        <w:t>年</w:t>
      </w:r>
      <w:r>
        <w:rPr>
          <w:rFonts w:hint="eastAsia" w:ascii="华文楷体" w:hAnsi="华文楷体" w:eastAsia="华文楷体"/>
          <w:sz w:val="36"/>
          <w:szCs w:val="36"/>
          <w:lang w:val="en-US" w:eastAsia="zh-CN"/>
        </w:rPr>
        <w:t>九</w:t>
      </w:r>
      <w:r>
        <w:rPr>
          <w:rFonts w:hint="eastAsia" w:ascii="华文楷体" w:hAnsi="华文楷体" w:eastAsia="华文楷体"/>
          <w:sz w:val="36"/>
          <w:szCs w:val="36"/>
        </w:rPr>
        <w:t>月</w:t>
      </w:r>
    </w:p>
    <w:p>
      <w:pPr>
        <w:pStyle w:val="14"/>
        <w:rPr>
          <w:rFonts w:cstheme="minorBidi"/>
          <w:color w:val="auto"/>
        </w:rPr>
      </w:pPr>
    </w:p>
    <w:p>
      <w:pPr>
        <w:pStyle w:val="14"/>
        <w:rPr>
          <w:rFonts w:cstheme="minorBidi"/>
          <w:color w:val="auto"/>
        </w:rPr>
      </w:pPr>
    </w:p>
    <w:p>
      <w:pPr>
        <w:snapToGrid w:val="0"/>
        <w:spacing w:line="312" w:lineRule="auto"/>
        <w:ind w:firstLine="420" w:firstLineChars="0"/>
        <w:rPr>
          <w:rFonts w:hint="eastAsia" w:ascii="FangSong_GB2312" w:hAnsi="FangSong_GB2312" w:eastAsia="FangSong_GB2312" w:cs="FangSong_GB2312"/>
          <w:b/>
          <w:bCs/>
          <w:sz w:val="28"/>
          <w:szCs w:val="28"/>
          <w:lang w:val="en-US" w:eastAsia="zh-CN"/>
        </w:rPr>
      </w:pPr>
      <w:r>
        <w:rPr>
          <w:rFonts w:hint="eastAsia" w:ascii="FangSong_GB2312" w:hAnsi="FangSong_GB2312" w:eastAsia="FangSong_GB2312" w:cs="FangSong_GB2312"/>
          <w:b/>
          <w:bCs/>
          <w:sz w:val="28"/>
          <w:szCs w:val="28"/>
          <w:lang w:val="en-US" w:eastAsia="zh-CN"/>
        </w:rPr>
        <w:t>2023年南开大学-香港理工大学联合培养博士研究生项目实施办法</w:t>
      </w:r>
    </w:p>
    <w:p>
      <w:pPr>
        <w:pStyle w:val="14"/>
        <w:rPr>
          <w:rFonts w:ascii="华文仿宋" w:hAnsi="华文仿宋" w:eastAsia="华文仿宋"/>
          <w:color w:val="auto"/>
        </w:rPr>
      </w:pPr>
    </w:p>
    <w:p>
      <w:pPr>
        <w:numPr>
          <w:ilvl w:val="0"/>
          <w:numId w:val="1"/>
        </w:numPr>
        <w:snapToGrid w:val="0"/>
        <w:spacing w:line="312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项目简介</w:t>
      </w:r>
    </w:p>
    <w:p>
      <w:pPr>
        <w:snapToGrid w:val="0"/>
        <w:spacing w:line="312" w:lineRule="auto"/>
        <w:ind w:firstLine="420" w:firstLineChars="0"/>
        <w:rPr>
          <w:rFonts w:hint="eastAsia"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  <w:lang w:val="en-US" w:eastAsia="zh-CN"/>
        </w:rPr>
        <w:t xml:space="preserve">香港理工大学（简称“理大”）是香港特别行政区历史最悠久的大学之一，理大最早可追溯至成立于1937年的香港官立高级工业学院，也是香港第一所由政府资助、提供工科教育的院校。经过八十余年的发展，凭借世界级的科研与教育，理大矢志成为全球顶尖高校。在2022年QS世界大学排行榜中，理大位居第66位。 </w:t>
      </w:r>
    </w:p>
    <w:p>
      <w:pPr>
        <w:snapToGrid w:val="0"/>
        <w:spacing w:line="312" w:lineRule="auto"/>
        <w:ind w:firstLine="420" w:firstLineChars="0"/>
        <w:rPr>
          <w:rFonts w:hint="eastAsia" w:ascii="FangSong_GB2312" w:hAnsi="FangSong_GB2312" w:eastAsia="FangSong_GB2312" w:cs="FangSong_GB2312"/>
          <w:sz w:val="28"/>
          <w:szCs w:val="28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28"/>
          <w:szCs w:val="28"/>
          <w:lang w:val="en-US" w:eastAsia="zh-CN"/>
        </w:rPr>
        <w:t xml:space="preserve">理大拥有强大的学术人员团队，其中诸多教授/讲座教授是其研究领域内的国际权威专家，提供具有国际竞争力的科研指导。理大的研究项目获政府与研究资助机构的大力支持，科研亮点包括：航天与航空工程、人工智能、大数据与金融科技、药物研发与医疗科学、智慧城市、可持续基建及环境、人文与先进材料。 </w:t>
      </w:r>
    </w:p>
    <w:p>
      <w:pPr>
        <w:snapToGrid w:val="0"/>
        <w:spacing w:line="312" w:lineRule="auto"/>
        <w:ind w:firstLine="420" w:firstLineChars="0"/>
        <w:rPr>
          <w:rFonts w:hint="eastAsia" w:ascii="FangSong_GB2312" w:hAnsi="FangSong_GB2312" w:eastAsia="FangSong_GB2312" w:cs="FangSong_GB2312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snapToGrid w:val="0"/>
        <w:spacing w:line="312" w:lineRule="auto"/>
        <w:ind w:left="0" w:leftChars="0" w:firstLine="0" w:firstLineChars="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  <w:lang w:val="en-US" w:eastAsia="zh-CN"/>
        </w:rPr>
        <w:t>学科领域</w:t>
      </w:r>
    </w:p>
    <w:p>
      <w:pPr>
        <w:snapToGrid w:val="0"/>
        <w:spacing w:line="312" w:lineRule="auto"/>
        <w:ind w:firstLine="420" w:firstLineChars="0"/>
        <w:rPr>
          <w:rFonts w:hint="eastAsia" w:ascii="FangSong_GB2312" w:hAnsi="FangSong_GB2312" w:eastAsia="FangSong_GB2312" w:cs="FangSong_GB2312"/>
          <w:sz w:val="28"/>
          <w:szCs w:val="28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28"/>
          <w:szCs w:val="28"/>
          <w:lang w:val="en-US" w:eastAsia="zh-CN"/>
        </w:rPr>
        <w:t>两校已有博士学位授予权的学科领域。</w:t>
      </w:r>
    </w:p>
    <w:p>
      <w:pPr>
        <w:snapToGrid w:val="0"/>
        <w:spacing w:line="312" w:lineRule="auto"/>
        <w:ind w:firstLine="420" w:firstLineChars="0"/>
        <w:rPr>
          <w:rFonts w:hint="eastAsia" w:ascii="FangSong_GB2312" w:hAnsi="FangSong_GB2312" w:eastAsia="FangSong_GB2312" w:cs="FangSong_GB2312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snapToGrid w:val="0"/>
        <w:spacing w:line="312" w:lineRule="auto"/>
        <w:ind w:left="0" w:leftChars="0" w:firstLine="0" w:firstLineChars="0"/>
        <w:rPr>
          <w:rFonts w:hint="eastAsia" w:ascii="FangSong_GB2312" w:hAnsi="FangSong_GB2312" w:eastAsia="FangSong_GB2312" w:cs="FangSong_GB2312"/>
          <w:sz w:val="28"/>
          <w:szCs w:val="28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28"/>
          <w:szCs w:val="28"/>
          <w:lang w:val="en-US" w:eastAsia="zh-CN"/>
        </w:rPr>
        <w:t>学习地点与住宿安排</w:t>
      </w:r>
    </w:p>
    <w:p>
      <w:pPr>
        <w:snapToGrid w:val="0"/>
        <w:spacing w:line="312" w:lineRule="auto"/>
        <w:ind w:firstLine="420" w:firstLineChars="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  <w:lang w:val="en-US" w:eastAsia="zh-CN"/>
        </w:rPr>
        <w:t>联合培养博士研究生</w:t>
      </w:r>
      <w:r>
        <w:rPr>
          <w:rFonts w:ascii="FangSong_GB2312" w:hAnsi="FangSong_GB2312" w:eastAsia="FangSong_GB2312" w:cs="FangSong_GB2312"/>
          <w:sz w:val="28"/>
          <w:szCs w:val="28"/>
        </w:rPr>
        <w:t>原则上</w:t>
      </w:r>
      <w:r>
        <w:rPr>
          <w:rFonts w:hint="eastAsia" w:ascii="FangSong_GB2312" w:hAnsi="FangSong_GB2312" w:eastAsia="FangSong_GB2312" w:cs="FangSong_GB2312"/>
          <w:sz w:val="28"/>
          <w:szCs w:val="28"/>
          <w:lang w:val="en-US" w:eastAsia="zh-CN"/>
        </w:rPr>
        <w:t>需于首年在</w:t>
      </w:r>
      <w:r>
        <w:rPr>
          <w:rFonts w:ascii="FangSong_GB2312" w:hAnsi="FangSong_GB2312" w:eastAsia="FangSong_GB2312" w:cs="FangSong_GB2312"/>
          <w:sz w:val="28"/>
          <w:szCs w:val="28"/>
        </w:rPr>
        <w:t>南开修读并完成公共必修课和学科基础课程</w:t>
      </w:r>
      <w:r>
        <w:rPr>
          <w:rFonts w:hint="eastAsia" w:ascii="FangSong_GB2312" w:hAnsi="FangSong_GB2312" w:eastAsia="FangSong_GB2312" w:cs="FangSong_GB2312"/>
          <w:sz w:val="28"/>
          <w:szCs w:val="28"/>
          <w:lang w:eastAsia="zh-CN"/>
        </w:rPr>
        <w:t>。第二、三年在理大按导师要求进行研究，完成申请确认博士生资格并取得注册确认。理大</w:t>
      </w:r>
      <w:r>
        <w:rPr>
          <w:rFonts w:hint="eastAsia" w:ascii="FangSong_GB2312" w:hAnsi="FangSong_GB2312" w:eastAsia="FangSong_GB2312" w:cs="FangSong_GB2312"/>
          <w:sz w:val="28"/>
          <w:szCs w:val="28"/>
          <w:lang w:val="en-US" w:eastAsia="zh-CN"/>
        </w:rPr>
        <w:t>允许</w:t>
      </w:r>
      <w:r>
        <w:rPr>
          <w:rFonts w:hint="eastAsia" w:ascii="FangSong_GB2312" w:hAnsi="FangSong_GB2312" w:eastAsia="FangSong_GB2312" w:cs="FangSong_GB2312"/>
          <w:sz w:val="28"/>
          <w:szCs w:val="28"/>
          <w:lang w:eastAsia="zh-CN"/>
        </w:rPr>
        <w:t>联合培养博士研究生通过课程学分转换满足理大课程学分要求。对转学分后仍缺失的必要课程，到理大后进行修读。第四年在南开大学进行学习和科学研究。</w:t>
      </w:r>
      <w:r>
        <w:rPr>
          <w:rFonts w:hint="eastAsia" w:ascii="FangSong_GB2312" w:hAnsi="FangSong_GB2312" w:eastAsia="FangSong_GB2312" w:cs="FangSong_GB2312"/>
          <w:sz w:val="28"/>
          <w:szCs w:val="28"/>
        </w:rPr>
        <w:t>具体学制安排如下：</w:t>
      </w:r>
    </w:p>
    <w:tbl>
      <w:tblPr>
        <w:tblStyle w:val="7"/>
        <w:tblpPr w:leftFromText="180" w:rightFromText="180" w:vertAnchor="text" w:horzAnchor="page" w:tblpX="1886" w:tblpY="337"/>
        <w:tblOverlap w:val="never"/>
        <w:tblW w:w="8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9"/>
        <w:gridCol w:w="6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429" w:type="dxa"/>
            <w:shd w:val="clear" w:color="auto" w:fill="C0C0C0"/>
            <w:noWrap w:val="0"/>
            <w:vAlign w:val="top"/>
          </w:tcPr>
          <w:p>
            <w:pPr>
              <w:snapToGrid w:val="0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学年</w:t>
            </w:r>
          </w:p>
        </w:tc>
        <w:tc>
          <w:tcPr>
            <w:tcW w:w="6010" w:type="dxa"/>
            <w:shd w:val="clear" w:color="auto" w:fill="C0C0C0"/>
            <w:noWrap w:val="0"/>
            <w:vAlign w:val="top"/>
          </w:tcPr>
          <w:p>
            <w:pPr>
              <w:snapToGrid w:val="0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学习地点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2429" w:type="dxa"/>
            <w:noWrap w:val="0"/>
            <w:vAlign w:val="top"/>
          </w:tcPr>
          <w:p>
            <w:pPr>
              <w:snapToGrid w:val="0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第一学年</w:t>
            </w:r>
          </w:p>
        </w:tc>
        <w:tc>
          <w:tcPr>
            <w:tcW w:w="6010" w:type="dxa"/>
            <w:noWrap w:val="0"/>
            <w:vAlign w:val="top"/>
          </w:tcPr>
          <w:p>
            <w:pPr>
              <w:snapToGrid w:val="0"/>
              <w:spacing w:line="312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- 注册成为</w:t>
            </w: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南开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及理大的联合培养博士生</w:t>
            </w:r>
          </w:p>
          <w:p>
            <w:pPr>
              <w:snapToGrid w:val="0"/>
              <w:spacing w:line="312" w:lineRule="auto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- 在</w:t>
            </w: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南开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进行课程学习和科学研究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429" w:type="dxa"/>
            <w:noWrap w:val="0"/>
            <w:vAlign w:val="top"/>
          </w:tcPr>
          <w:p>
            <w:pPr>
              <w:snapToGrid w:val="0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第二</w:t>
            </w: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、三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学年</w:t>
            </w:r>
          </w:p>
        </w:tc>
        <w:tc>
          <w:tcPr>
            <w:tcW w:w="6010" w:type="dxa"/>
            <w:noWrap w:val="0"/>
            <w:vAlign w:val="top"/>
          </w:tcPr>
          <w:p>
            <w:pPr>
              <w:snapToGrid w:val="0"/>
              <w:spacing w:line="312" w:lineRule="auto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- 于理大学习两个学年及</w:t>
            </w: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取得注册确认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2429" w:type="dxa"/>
            <w:noWrap w:val="0"/>
            <w:vAlign w:val="top"/>
          </w:tcPr>
          <w:p>
            <w:pPr>
              <w:snapToGrid w:val="0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第四学年</w:t>
            </w:r>
          </w:p>
        </w:tc>
        <w:tc>
          <w:tcPr>
            <w:tcW w:w="6010" w:type="dxa"/>
            <w:noWrap w:val="0"/>
            <w:vAlign w:val="top"/>
          </w:tcPr>
          <w:p>
            <w:pPr>
              <w:snapToGrid w:val="0"/>
              <w:spacing w:line="312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- 于</w:t>
            </w: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南开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学习</w:t>
            </w:r>
            <w:r>
              <w:rPr>
                <w:rFonts w:hint="eastAsia" w:ascii="Microsoft JhengHei" w:hAnsi="Microsoft JhengHei" w:eastAsia="Microsoft JhengHei" w:cs="Microsoft JhengHei"/>
                <w:sz w:val="28"/>
                <w:szCs w:val="28"/>
              </w:rPr>
              <w:t>､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修读课程</w:t>
            </w:r>
            <w:r>
              <w:rPr>
                <w:rFonts w:hint="eastAsia" w:ascii="Microsoft JhengHei" w:hAnsi="Microsoft JhengHei" w:eastAsia="Microsoft JhengHei" w:cs="Microsoft JhengHei"/>
                <w:sz w:val="28"/>
                <w:szCs w:val="28"/>
              </w:rPr>
              <w:t>､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进行科研及撰写论文</w:t>
            </w:r>
          </w:p>
          <w:p>
            <w:pPr>
              <w:snapToGrid w:val="0"/>
              <w:spacing w:line="312" w:lineRule="auto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-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答辩</w:t>
            </w: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方式和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地点</w:t>
            </w: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按双方协商后确定</w:t>
            </w:r>
          </w:p>
        </w:tc>
      </w:tr>
    </w:tbl>
    <w:p>
      <w:pPr>
        <w:snapToGrid w:val="0"/>
        <w:spacing w:before="156" w:beforeLines="50" w:after="156" w:afterLines="50" w:line="480" w:lineRule="exact"/>
        <w:ind w:firstLine="567"/>
        <w:rPr>
          <w:rFonts w:hint="eastAsia"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在南开研究学习期间的宿舍由南开大学提供，在理大研究学习期间由</w:t>
      </w:r>
      <w:r>
        <w:rPr>
          <w:rFonts w:ascii="FangSong_GB2312" w:hAnsi="FangSong_GB2312" w:eastAsia="FangSong_GB2312" w:cs="FangSong_GB2312"/>
          <w:sz w:val="28"/>
          <w:szCs w:val="28"/>
        </w:rPr>
        <w:t>理大提供协助，安排自费</w:t>
      </w:r>
      <w:r>
        <w:rPr>
          <w:rFonts w:hint="eastAsia" w:ascii="FangSong_GB2312" w:hAnsi="FangSong_GB2312" w:eastAsia="FangSong_GB2312" w:cs="FangSong_GB2312"/>
          <w:sz w:val="28"/>
          <w:szCs w:val="28"/>
        </w:rPr>
        <w:t>入住学校宿舍或在校外自费住宿。</w:t>
      </w:r>
    </w:p>
    <w:p>
      <w:pPr>
        <w:pStyle w:val="14"/>
        <w:numPr>
          <w:ilvl w:val="0"/>
          <w:numId w:val="0"/>
        </w:numPr>
        <w:spacing w:line="0" w:lineRule="atLeast"/>
        <w:ind w:leftChars="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14"/>
        <w:numPr>
          <w:ilvl w:val="0"/>
          <w:numId w:val="1"/>
        </w:numPr>
        <w:spacing w:line="0" w:lineRule="atLeast"/>
        <w:ind w:left="0" w:leftChars="0" w:firstLine="0" w:firstLineChars="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申请资格</w:t>
      </w:r>
    </w:p>
    <w:p>
      <w:pPr>
        <w:pStyle w:val="14"/>
        <w:numPr>
          <w:ilvl w:val="0"/>
          <w:numId w:val="2"/>
        </w:numPr>
        <w:spacing w:line="0" w:lineRule="atLeast"/>
        <w:ind w:left="0" w:leftChars="0" w:firstLine="420" w:firstLineChars="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我校2022级全日制非定向博士研究生。每学年的招生名额不超过20人；</w:t>
      </w:r>
    </w:p>
    <w:p>
      <w:pPr>
        <w:pStyle w:val="14"/>
        <w:numPr>
          <w:ilvl w:val="0"/>
          <w:numId w:val="2"/>
        </w:numPr>
        <w:spacing w:line="0" w:lineRule="atLeast"/>
        <w:ind w:left="0" w:leftChars="0" w:firstLine="420" w:firstLineChars="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已修课程成绩符合要求；</w:t>
      </w:r>
    </w:p>
    <w:p>
      <w:pPr>
        <w:pStyle w:val="14"/>
        <w:numPr>
          <w:ilvl w:val="0"/>
          <w:numId w:val="2"/>
        </w:numPr>
        <w:spacing w:line="0" w:lineRule="atLeast"/>
        <w:ind w:left="0" w:leftChars="0" w:firstLine="420" w:firstLineChars="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达到香港理工大学规定的最低英文水平要求：取得(1)托福(TOEFL)笔试总成绩达 550 分/托福网考总成绩达 80 分，或(2)雅思国际英语水平测试(IELTS) 总评级达6.5。个别院系可订立更高要求，详情请参阅</w:t>
      </w: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instrText xml:space="preserve"> HYPERLINK "http://www51.polyu.edu.hk/eprospectus/rpg%23programme-list" </w:instrText>
      </w: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http://www51.polyu.edu.hk/eprospectus/rpg#programme-list</w:t>
      </w: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pStyle w:val="14"/>
        <w:numPr>
          <w:ilvl w:val="0"/>
          <w:numId w:val="2"/>
        </w:numPr>
        <w:spacing w:line="0" w:lineRule="atLeast"/>
        <w:ind w:left="0" w:leftChars="0" w:firstLine="420" w:firstLineChars="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托福和雅思成绩从考试日期算起有效期为两年, 成绩必须在提交申请时有效。</w:t>
      </w:r>
    </w:p>
    <w:p>
      <w:pPr>
        <w:pStyle w:val="14"/>
        <w:numPr>
          <w:ilvl w:val="0"/>
          <w:numId w:val="0"/>
        </w:numPr>
        <w:spacing w:line="0" w:lineRule="atLeast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14"/>
        <w:numPr>
          <w:ilvl w:val="0"/>
          <w:numId w:val="1"/>
        </w:numPr>
        <w:spacing w:line="0" w:lineRule="atLeast"/>
        <w:ind w:left="0" w:leftChars="0" w:firstLine="0" w:firstLineChars="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申请程序</w:t>
      </w:r>
    </w:p>
    <w:p>
      <w:pPr>
        <w:pStyle w:val="14"/>
        <w:numPr>
          <w:ilvl w:val="0"/>
          <w:numId w:val="0"/>
        </w:numPr>
        <w:spacing w:line="0" w:lineRule="atLeast"/>
        <w:ind w:firstLine="420" w:firstLineChars="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请符合申请资格的同学仔细阅读申请流程，招生申请需经南开和理大导师、相关院系及研究团队负责人审核。</w:t>
      </w:r>
    </w:p>
    <w:p>
      <w:pPr>
        <w:pStyle w:val="14"/>
        <w:numPr>
          <w:ilvl w:val="0"/>
          <w:numId w:val="0"/>
        </w:numPr>
        <w:spacing w:line="0" w:lineRule="atLeast"/>
        <w:ind w:firstLine="420" w:firstLineChars="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（一）申请人需将以下材料</w:t>
      </w:r>
      <w:r>
        <w:rPr>
          <w:rFonts w:hint="eastAsia" w:ascii="FangSong_GB2312" w:hAnsi="FangSong_GB2312" w:eastAsia="FangSong_GB2312" w:cs="FangSong_GB2312"/>
          <w:b/>
          <w:bCs/>
          <w:color w:val="auto"/>
          <w:kern w:val="2"/>
          <w:sz w:val="28"/>
          <w:szCs w:val="28"/>
          <w:lang w:val="en-US" w:eastAsia="zh-CN" w:bidi="ar-SA"/>
        </w:rPr>
        <w:t>复印件</w:t>
      </w: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交至所在学院。由学院汇总后，于</w:t>
      </w:r>
      <w:r>
        <w:rPr>
          <w:rFonts w:hint="eastAsia" w:ascii="FangSong_GB2312" w:hAnsi="FangSong_GB2312" w:eastAsia="FangSong_GB2312" w:cs="FangSong_GB2312"/>
          <w:b/>
          <w:bCs/>
          <w:color w:val="auto"/>
          <w:kern w:val="2"/>
          <w:sz w:val="28"/>
          <w:szCs w:val="28"/>
          <w:u w:val="single"/>
          <w:lang w:val="en-US" w:eastAsia="zh-CN" w:bidi="ar-SA"/>
        </w:rPr>
        <w:t>2022年12月23日</w:t>
      </w: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前上报研究生院。具体包括：</w:t>
      </w:r>
    </w:p>
    <w:p>
      <w:pPr>
        <w:pStyle w:val="14"/>
        <w:numPr>
          <w:ilvl w:val="0"/>
          <w:numId w:val="3"/>
        </w:numPr>
        <w:spacing w:line="0" w:lineRule="atLeast"/>
        <w:ind w:firstLine="420" w:firstLineChars="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本科及硕士 (如适用) 学位证、毕业证（中英文件）；</w:t>
      </w:r>
    </w:p>
    <w:p>
      <w:pPr>
        <w:pStyle w:val="14"/>
        <w:numPr>
          <w:ilvl w:val="0"/>
          <w:numId w:val="3"/>
        </w:numPr>
        <w:spacing w:line="0" w:lineRule="atLeast"/>
        <w:ind w:firstLine="420" w:firstLineChars="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本科及硕士（如适用）成绩单 (中英文件)；</w:t>
      </w:r>
    </w:p>
    <w:p>
      <w:pPr>
        <w:pStyle w:val="14"/>
        <w:numPr>
          <w:ilvl w:val="0"/>
          <w:numId w:val="3"/>
        </w:numPr>
        <w:spacing w:line="0" w:lineRule="atLeast"/>
        <w:ind w:firstLine="420" w:firstLineChars="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附件一 《申请人名单》（电子版）。</w:t>
      </w:r>
    </w:p>
    <w:p>
      <w:pPr>
        <w:pStyle w:val="14"/>
        <w:numPr>
          <w:ilvl w:val="0"/>
          <w:numId w:val="0"/>
        </w:numPr>
        <w:spacing w:line="0" w:lineRule="atLeast"/>
        <w:ind w:firstLine="420" w:firstLineChars="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（二）申请人登入理大入学申请系统eAdmission（</w:t>
      </w: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instrText xml:space="preserve"> HYPERLINK "https://www38.polyu.edu.hk/eAdmission/index.do" </w:instrText>
      </w: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https://www38.polyu.edu.hk/eAdmission/index.do</w:t>
      </w: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），于</w:t>
      </w:r>
      <w:r>
        <w:rPr>
          <w:rFonts w:hint="eastAsia" w:ascii="FangSong_GB2312" w:hAnsi="FangSong_GB2312" w:eastAsia="FangSong_GB2312" w:cs="FangSong_GB2312"/>
          <w:b/>
          <w:bCs/>
          <w:color w:val="auto"/>
          <w:kern w:val="2"/>
          <w:sz w:val="28"/>
          <w:szCs w:val="28"/>
          <w:u w:val="single"/>
          <w:lang w:val="en-US" w:eastAsia="zh-CN" w:bidi="ar-SA"/>
        </w:rPr>
        <w:t>2023年4月底以前</w:t>
      </w: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填妥网上申请及上传以下相关文件证明，并将</w:t>
      </w:r>
      <w:r>
        <w:rPr>
          <w:rFonts w:hint="eastAsia" w:ascii="FangSong_GB2312" w:hAnsi="FangSong_GB2312" w:eastAsia="FangSong_GB2312" w:cs="FangSong_GB2312"/>
          <w:b/>
          <w:bCs/>
          <w:color w:val="auto"/>
          <w:kern w:val="2"/>
          <w:sz w:val="28"/>
          <w:szCs w:val="28"/>
          <w:lang w:val="en-US" w:eastAsia="zh-CN" w:bidi="ar-SA"/>
        </w:rPr>
        <w:t>复印件</w:t>
      </w: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上报研究生院。更多申请注意事项可查看</w:t>
      </w: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instrText xml:space="preserve"> HYPERLINK "http://www51.polyu.edu.hk/eprospectus/rpg" </w:instrText>
      </w: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http://www51.polyu.edu.hk/eprospectus/rpg</w:t>
      </w: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pStyle w:val="14"/>
        <w:numPr>
          <w:ilvl w:val="0"/>
          <w:numId w:val="4"/>
        </w:numPr>
        <w:spacing w:line="0" w:lineRule="atLeast"/>
        <w:ind w:firstLine="420" w:firstLineChars="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语言考试成绩单（托福或雅思，成绩必须在提交申请时有效）；</w:t>
      </w:r>
    </w:p>
    <w:p>
      <w:pPr>
        <w:pStyle w:val="14"/>
        <w:numPr>
          <w:ilvl w:val="0"/>
          <w:numId w:val="4"/>
        </w:numPr>
        <w:spacing w:line="0" w:lineRule="atLeast"/>
        <w:ind w:firstLine="420" w:firstLineChars="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附件二 Research Proposal （研究计划）；</w:t>
      </w:r>
    </w:p>
    <w:p>
      <w:pPr>
        <w:pStyle w:val="14"/>
        <w:numPr>
          <w:ilvl w:val="0"/>
          <w:numId w:val="4"/>
        </w:numPr>
        <w:spacing w:line="0" w:lineRule="atLeast"/>
        <w:ind w:firstLine="420" w:firstLineChars="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附件三 Study Plan（学习计划）。</w:t>
      </w:r>
    </w:p>
    <w:p>
      <w:pPr>
        <w:pStyle w:val="14"/>
        <w:spacing w:line="0" w:lineRule="atLeast"/>
        <w:ind w:firstLine="480" w:firstLineChars="200"/>
        <w:rPr>
          <w:rFonts w:ascii="华文仿宋" w:hAnsi="华文仿宋" w:eastAsia="华文仿宋"/>
          <w:color w:val="auto"/>
        </w:rPr>
      </w:pPr>
    </w:p>
    <w:p>
      <w:pPr>
        <w:pStyle w:val="14"/>
        <w:numPr>
          <w:ilvl w:val="0"/>
          <w:numId w:val="1"/>
        </w:numPr>
        <w:spacing w:line="0" w:lineRule="atLeast"/>
        <w:ind w:left="0" w:leftChars="0" w:firstLine="0" w:firstLineChars="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highlight w:val="none"/>
          <w:lang w:val="en-US" w:eastAsia="zh-CN" w:bidi="ar-SA"/>
        </w:rPr>
        <w:t>项目录取</w:t>
      </w:r>
    </w:p>
    <w:p>
      <w:pPr>
        <w:pStyle w:val="14"/>
        <w:numPr>
          <w:ilvl w:val="0"/>
          <w:numId w:val="0"/>
        </w:numPr>
        <w:spacing w:line="0" w:lineRule="atLeast"/>
        <w:ind w:firstLine="420" w:firstLineChars="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两校将对申请人的材料进行审核并择优遴选。若有需要，亦会安排学生面试。录取结果将于 2023年 5 月底前书面通知申请者。</w:t>
      </w:r>
    </w:p>
    <w:p>
      <w:pPr>
        <w:pStyle w:val="14"/>
        <w:numPr>
          <w:ilvl w:val="0"/>
          <w:numId w:val="0"/>
        </w:numPr>
        <w:spacing w:line="0" w:lineRule="atLeast"/>
        <w:ind w:firstLine="420" w:firstLineChars="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tbl>
      <w:tblPr>
        <w:tblStyle w:val="7"/>
        <w:tblpPr w:leftFromText="180" w:rightFromText="180" w:vertAnchor="text" w:horzAnchor="page" w:tblpX="1879" w:tblpY="196"/>
        <w:tblOverlap w:val="never"/>
        <w:tblW w:w="84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7"/>
        <w:gridCol w:w="3421"/>
        <w:gridCol w:w="3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97" w:type="dxa"/>
          </w:tcPr>
          <w:p>
            <w:pPr>
              <w:pStyle w:val="18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21" w:type="dxa"/>
          </w:tcPr>
          <w:p>
            <w:pPr>
              <w:pStyle w:val="18"/>
              <w:ind w:left="155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pacing w:val="-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eastAsiaTheme="minorEastAsia"/>
                <w:spacing w:val="-2"/>
                <w:sz w:val="24"/>
                <w:szCs w:val="24"/>
                <w:u w:val="single"/>
              </w:rPr>
              <w:t>南开</w:t>
            </w:r>
            <w:r>
              <w:rPr>
                <w:rFonts w:eastAsiaTheme="minorEastAsia"/>
                <w:spacing w:val="-2"/>
                <w:sz w:val="24"/>
                <w:szCs w:val="24"/>
                <w:u w:val="single"/>
              </w:rPr>
              <w:t>大学研究生院</w:t>
            </w:r>
          </w:p>
        </w:tc>
        <w:tc>
          <w:tcPr>
            <w:tcW w:w="3729" w:type="dxa"/>
          </w:tcPr>
          <w:p>
            <w:pPr>
              <w:pStyle w:val="18"/>
              <w:ind w:left="1062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pacing w:val="-56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Theme="minorEastAsia"/>
                <w:spacing w:val="-2"/>
                <w:sz w:val="24"/>
                <w:szCs w:val="24"/>
                <w:u w:val="single"/>
              </w:rPr>
              <w:t>香港理工大学研究生院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297" w:type="dxa"/>
          </w:tcPr>
          <w:p>
            <w:pPr>
              <w:pStyle w:val="18"/>
              <w:tabs>
                <w:tab w:val="left" w:pos="662"/>
              </w:tabs>
              <w:spacing w:before="7"/>
              <w:ind w:right="152"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电</w:t>
            </w:r>
            <w:r>
              <w:rPr>
                <w:rFonts w:eastAsiaTheme="minorEastAsia"/>
                <w:sz w:val="24"/>
                <w:szCs w:val="24"/>
              </w:rPr>
              <w:tab/>
            </w:r>
            <w:r>
              <w:rPr>
                <w:rFonts w:eastAsiaTheme="minorEastAsia"/>
                <w:spacing w:val="-3"/>
                <w:sz w:val="24"/>
                <w:szCs w:val="24"/>
              </w:rPr>
              <w:t>话</w:t>
            </w:r>
            <w:r>
              <w:rPr>
                <w:rFonts w:eastAsiaTheme="minorEastAsia"/>
                <w:sz w:val="24"/>
                <w:szCs w:val="24"/>
              </w:rPr>
              <w:t>:</w:t>
            </w:r>
          </w:p>
        </w:tc>
        <w:tc>
          <w:tcPr>
            <w:tcW w:w="3421" w:type="dxa"/>
          </w:tcPr>
          <w:p>
            <w:pPr>
              <w:pStyle w:val="18"/>
              <w:spacing w:before="78"/>
              <w:ind w:left="155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23502033</w:t>
            </w:r>
          </w:p>
        </w:tc>
        <w:tc>
          <w:tcPr>
            <w:tcW w:w="3729" w:type="dxa"/>
          </w:tcPr>
          <w:p>
            <w:pPr>
              <w:pStyle w:val="18"/>
              <w:spacing w:before="78"/>
              <w:ind w:left="1062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(852) 3400-3635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97" w:type="dxa"/>
          </w:tcPr>
          <w:p>
            <w:pPr>
              <w:pStyle w:val="18"/>
              <w:spacing w:before="30"/>
              <w:ind w:right="152"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传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eastAsiaTheme="minorEastAsia"/>
                <w:sz w:val="24"/>
                <w:szCs w:val="24"/>
              </w:rPr>
              <w:t>真:</w:t>
            </w:r>
          </w:p>
        </w:tc>
        <w:tc>
          <w:tcPr>
            <w:tcW w:w="3421" w:type="dxa"/>
          </w:tcPr>
          <w:p>
            <w:pPr>
              <w:pStyle w:val="18"/>
              <w:spacing w:before="101"/>
              <w:ind w:left="155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85358024</w:t>
            </w:r>
          </w:p>
        </w:tc>
        <w:tc>
          <w:tcPr>
            <w:tcW w:w="3729" w:type="dxa"/>
          </w:tcPr>
          <w:p>
            <w:pPr>
              <w:pStyle w:val="18"/>
              <w:spacing w:before="101"/>
              <w:ind w:left="1062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(852) 3400-2980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97" w:type="dxa"/>
          </w:tcPr>
          <w:p>
            <w:pPr>
              <w:pStyle w:val="18"/>
              <w:spacing w:before="30"/>
              <w:ind w:right="152"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电子信箱:</w:t>
            </w:r>
          </w:p>
        </w:tc>
        <w:tc>
          <w:tcPr>
            <w:tcW w:w="3421" w:type="dxa"/>
          </w:tcPr>
          <w:p>
            <w:pPr>
              <w:pStyle w:val="18"/>
              <w:spacing w:before="98"/>
              <w:ind w:left="155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instrText xml:space="preserve"> HYPERLINK "mailto:lichangjuan@nankai.edu.cn" </w:instrTex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Style w:val="11"/>
                <w:rFonts w:hint="eastAsia" w:eastAsiaTheme="minorEastAsia"/>
                <w:sz w:val="24"/>
                <w:szCs w:val="24"/>
                <w:lang w:val="en-US" w:eastAsia="zh-CN"/>
              </w:rPr>
              <w:t>lichangjuan@nankai.edu.cn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729" w:type="dxa"/>
          </w:tcPr>
          <w:p>
            <w:pPr>
              <w:pStyle w:val="18"/>
              <w:spacing w:before="98"/>
              <w:ind w:left="1062"/>
              <w:rPr>
                <w:rFonts w:eastAsiaTheme="minorEastAsia"/>
                <w:color w:val="0000FF"/>
                <w:sz w:val="24"/>
                <w:szCs w:val="24"/>
                <w:u w:val="single" w:color="0000FF"/>
              </w:rPr>
            </w:pPr>
            <w:r>
              <w:rPr>
                <w:rFonts w:eastAsiaTheme="minorEastAsia"/>
                <w:sz w:val="24"/>
                <w:szCs w:val="24"/>
              </w:rPr>
              <w:t>关于网申问题，请联系：</w:t>
            </w:r>
            <w:r>
              <w:fldChar w:fldCharType="begin"/>
            </w:r>
            <w:r>
              <w:instrText xml:space="preserve"> HYPERLINK "mailto:ar.rpg@polyu.edu.hk" </w:instrText>
            </w:r>
            <w:r>
              <w:fldChar w:fldCharType="separate"/>
            </w:r>
            <w:r>
              <w:rPr>
                <w:rStyle w:val="11"/>
                <w:rFonts w:eastAsiaTheme="minorEastAsia"/>
                <w:sz w:val="24"/>
                <w:szCs w:val="24"/>
              </w:rPr>
              <w:t>ar.rpg@polyu.edu.hk</w:t>
            </w:r>
            <w:r>
              <w:rPr>
                <w:rStyle w:val="11"/>
                <w:rFonts w:eastAsiaTheme="minorEastAsia"/>
                <w:sz w:val="24"/>
                <w:szCs w:val="24"/>
              </w:rPr>
              <w:fldChar w:fldCharType="end"/>
            </w:r>
            <w:r>
              <w:rPr>
                <w:rFonts w:eastAsiaTheme="minorEastAsia"/>
                <w:color w:val="0000FF"/>
                <w:sz w:val="24"/>
                <w:szCs w:val="24"/>
                <w:u w:val="single" w:color="0000FF"/>
              </w:rPr>
              <w:t xml:space="preserve"> </w:t>
            </w:r>
          </w:p>
          <w:p>
            <w:pPr>
              <w:pStyle w:val="18"/>
              <w:spacing w:before="98"/>
              <w:ind w:left="1062"/>
              <w:rPr>
                <w:rFonts w:eastAsiaTheme="minorEastAsia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297" w:type="dxa"/>
          </w:tcPr>
          <w:p>
            <w:pPr>
              <w:pStyle w:val="18"/>
              <w:spacing w:before="29"/>
              <w:ind w:right="632"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网址:</w:t>
            </w:r>
          </w:p>
        </w:tc>
        <w:tc>
          <w:tcPr>
            <w:tcW w:w="3421" w:type="dxa"/>
          </w:tcPr>
          <w:p>
            <w:pPr>
              <w:pStyle w:val="18"/>
              <w:spacing w:before="99"/>
              <w:ind w:left="155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</w:rPr>
              <w:fldChar w:fldCharType="begin"/>
            </w:r>
            <w:r>
              <w:rPr>
                <w:rFonts w:hint="eastAsia" w:eastAsiaTheme="minorEastAsia"/>
                <w:sz w:val="24"/>
                <w:szCs w:val="24"/>
              </w:rPr>
              <w:instrText xml:space="preserve"> HYPERLINK "https://graduate.nankai.edu.cn/" </w:instrText>
            </w:r>
            <w:r>
              <w:rPr>
                <w:rFonts w:hint="eastAsia" w:eastAsiaTheme="minorEastAsia"/>
                <w:sz w:val="24"/>
                <w:szCs w:val="24"/>
              </w:rPr>
              <w:fldChar w:fldCharType="separate"/>
            </w:r>
            <w:r>
              <w:rPr>
                <w:rStyle w:val="11"/>
                <w:rFonts w:hint="eastAsia" w:eastAsiaTheme="minorEastAsia"/>
                <w:sz w:val="24"/>
                <w:szCs w:val="24"/>
              </w:rPr>
              <w:t>https://graduate.nankai.edu.cn/</w:t>
            </w:r>
            <w:r>
              <w:rPr>
                <w:rFonts w:hint="eastAsia" w:eastAsiaTheme="minorEastAsia"/>
                <w:sz w:val="24"/>
                <w:szCs w:val="24"/>
              </w:rPr>
              <w:fldChar w:fldCharType="end"/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729" w:type="dxa"/>
          </w:tcPr>
          <w:p>
            <w:pPr>
              <w:pStyle w:val="18"/>
              <w:spacing w:before="99"/>
              <w:ind w:left="1062"/>
              <w:rPr>
                <w:rFonts w:eastAsiaTheme="minorEastAsia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"https://www.polyu.edu.hk/gs/prospective-students/joint-phd-programmes-leading-to-dual-awards/" </w:instrText>
            </w:r>
            <w:r>
              <w:fldChar w:fldCharType="separate"/>
            </w:r>
            <w:r>
              <w:rPr>
                <w:rStyle w:val="10"/>
                <w:rFonts w:eastAsiaTheme="minorEastAsia"/>
                <w:sz w:val="24"/>
                <w:szCs w:val="24"/>
              </w:rPr>
              <w:t>https://www.polyu.edu.hk/gs/prospective-students/joint-phd-programmes-leading-to-dual-awards/</w:t>
            </w:r>
            <w:r>
              <w:rPr>
                <w:rStyle w:val="11"/>
                <w:rFonts w:eastAsiaTheme="minorEastAsia"/>
                <w:sz w:val="24"/>
                <w:szCs w:val="24"/>
              </w:rPr>
              <w:fldChar w:fldCharType="end"/>
            </w:r>
          </w:p>
        </w:tc>
      </w:tr>
    </w:tbl>
    <w:p>
      <w:pPr>
        <w:pStyle w:val="14"/>
        <w:numPr>
          <w:ilvl w:val="0"/>
          <w:numId w:val="0"/>
        </w:numPr>
        <w:spacing w:line="0" w:lineRule="atLeast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14"/>
        <w:numPr>
          <w:ilvl w:val="0"/>
          <w:numId w:val="1"/>
        </w:numPr>
        <w:spacing w:line="0" w:lineRule="atLeast"/>
        <w:ind w:left="0" w:leftChars="0" w:firstLine="0" w:firstLineChars="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学位授予</w:t>
      </w:r>
    </w:p>
    <w:p>
      <w:pPr>
        <w:pStyle w:val="14"/>
        <w:numPr>
          <w:ilvl w:val="0"/>
          <w:numId w:val="0"/>
        </w:numPr>
        <w:spacing w:line="0" w:lineRule="atLeast"/>
        <w:ind w:firstLine="420" w:firstLineChars="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联合培养博士研究生，符合南开大学博士学位授予条件，获颁南开大学博士研究生毕业证书和博士学位证书；符合理大博士学位授予条件，获颁理大博士学位证书。（注：理大颁发的学位证书将注明“此哲学博士学位由香港理工大学及南开大学合办”）。</w:t>
      </w:r>
    </w:p>
    <w:p>
      <w:pPr>
        <w:pStyle w:val="14"/>
        <w:numPr>
          <w:ilvl w:val="0"/>
          <w:numId w:val="0"/>
        </w:numPr>
        <w:spacing w:line="0" w:lineRule="atLeast"/>
        <w:ind w:firstLine="420" w:firstLineChars="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14"/>
        <w:numPr>
          <w:ilvl w:val="0"/>
          <w:numId w:val="1"/>
        </w:numPr>
        <w:spacing w:line="0" w:lineRule="atLeast"/>
        <w:ind w:left="0" w:leftChars="0" w:firstLine="0" w:firstLineChars="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费用及奖学金说明</w:t>
      </w:r>
    </w:p>
    <w:p>
      <w:pPr>
        <w:pStyle w:val="14"/>
        <w:numPr>
          <w:ilvl w:val="0"/>
          <w:numId w:val="0"/>
        </w:numPr>
        <w:spacing w:line="0" w:lineRule="atLeast"/>
        <w:ind w:firstLine="420" w:firstLineChars="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联合培养的博士研究生在南开大学学习期间，其学费及研究经费按照南开大学有关规定办理。学生在南开大学学习期间由南开大学发放津贴，理大停发奖学金。</w:t>
      </w:r>
    </w:p>
    <w:p>
      <w:pPr>
        <w:pStyle w:val="14"/>
        <w:numPr>
          <w:ilvl w:val="0"/>
          <w:numId w:val="0"/>
        </w:numPr>
        <w:spacing w:line="0" w:lineRule="atLeast"/>
        <w:ind w:firstLine="420" w:firstLineChars="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在理大学习期间, 按理大有关规定缴纳学费。除了学费, 学生须支付其他费用包括考试费 (提交毕业论文时缴交)、延读学费 (于理大一般修读年期结束时仍未提交毕业论文, 学生须缴交此费用以延续其学业)。在理大学习时, 每名联合培养博士生均按照理大规定发放助学金。关于在理大学习期间的奖学金和学费办理情况，请参阅：</w:t>
      </w: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instrText xml:space="preserve"> HYPERLINK "https://www.polyu.edu.hk/gs/prospective-students/joint-phd-programmes-leading-to-dual-awards/" </w:instrText>
      </w: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https://www.polyu.edu.hk/gs/prospective-students/joint-phd-programmes-leading-to-dual-awards/</w:t>
      </w: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pStyle w:val="14"/>
        <w:numPr>
          <w:ilvl w:val="0"/>
          <w:numId w:val="0"/>
        </w:numPr>
        <w:spacing w:line="0" w:lineRule="atLeast"/>
        <w:ind w:firstLine="420" w:firstLineChars="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14"/>
        <w:numPr>
          <w:ilvl w:val="0"/>
          <w:numId w:val="1"/>
        </w:numPr>
        <w:spacing w:line="0" w:lineRule="atLeast"/>
        <w:ind w:left="0" w:leftChars="0" w:firstLine="0" w:firstLineChars="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操作日程（注：此操作日程为暂定方案，如有变化，请以学校通知为准）</w:t>
      </w:r>
    </w:p>
    <w:tbl>
      <w:tblPr>
        <w:tblStyle w:val="7"/>
        <w:tblpPr w:leftFromText="180" w:rightFromText="180" w:vertAnchor="text" w:horzAnchor="page" w:tblpX="1411" w:tblpY="361"/>
        <w:tblOverlap w:val="never"/>
        <w:tblW w:w="9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5547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0" w:lineRule="atLeast"/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时间</w:t>
            </w: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0" w:lineRule="atLeast"/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工作内容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0" w:lineRule="atLeast"/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落实单位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0" w:lineRule="atLeast"/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2022.9</w:t>
            </w: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0" w:lineRule="atLeast"/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南开研究生院向学院发布招生实施办法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0" w:lineRule="atLeast"/>
              <w:rPr>
                <w:rFonts w:hint="default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南开大学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0" w:lineRule="atLeast"/>
              <w:rPr>
                <w:rFonts w:hint="default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2022.9-2023.4月底</w:t>
            </w: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0" w:lineRule="atLeast"/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学生联系理大导师、提交网申阶段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0" w:lineRule="atLeast"/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 w:themeFill="accent2" w:themeFillTint="99"/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0" w:lineRule="atLeast"/>
              <w:rPr>
                <w:rFonts w:hint="default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2022.12.23</w:t>
            </w: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 w:themeFill="accent2" w:themeFillTint="99"/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0" w:lineRule="atLeast"/>
              <w:rPr>
                <w:rFonts w:hint="default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截止申请！</w:t>
            </w:r>
          </w:p>
          <w:p>
            <w:pPr>
              <w:pStyle w:val="14"/>
              <w:numPr>
                <w:ilvl w:val="0"/>
                <w:numId w:val="0"/>
              </w:numPr>
              <w:spacing w:line="0" w:lineRule="atLeast"/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学院将汇总学生材料及名单上报给研究生院，进行学生申报材料的审核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 w:themeFill="accent2" w:themeFillTint="99"/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0" w:lineRule="atLeast"/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南开大学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0" w:lineRule="atLeast"/>
              <w:ind w:left="0" w:leftChars="0" w:firstLine="0" w:firstLineChars="0"/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2023.1-4</w:t>
            </w: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0" w:lineRule="atLeast"/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理大审核申请材料，向符合条件的申请人发放录取通知。</w:t>
            </w:r>
          </w:p>
          <w:p>
            <w:pPr>
              <w:pStyle w:val="14"/>
              <w:numPr>
                <w:ilvl w:val="0"/>
                <w:numId w:val="0"/>
              </w:numPr>
              <w:spacing w:line="0" w:lineRule="atLeast"/>
              <w:ind w:left="0" w:leftChars="0" w:firstLine="0" w:firstLineChars="0"/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获得录取的申请人需完成以下手续：在录取通知书规定的缴费期限前通过eAdmission确认接受录取并结算报名费；填妥的签证申请表，连同所需的证明文件，通过理大教务处递交香港入境事务处。 申请学生签证指南可从网上的录取通知下载。  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0" w:lineRule="atLeast"/>
              <w:ind w:left="0" w:leftChars="0" w:firstLine="0" w:firstLineChars="0"/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学生、理大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0" w:lineRule="atLeast"/>
              <w:ind w:left="0" w:leftChars="0" w:firstLine="0" w:firstLineChars="0"/>
              <w:rPr>
                <w:rFonts w:hint="default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2023.4.28</w:t>
            </w: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0" w:lineRule="atLeast"/>
              <w:ind w:left="0" w:leftChars="0" w:firstLine="0" w:firstLineChars="0"/>
              <w:rPr>
                <w:rFonts w:hint="default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网申截止！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0" w:lineRule="atLeast"/>
              <w:ind w:left="0" w:leftChars="0" w:firstLine="0" w:firstLineChars="0"/>
              <w:rPr>
                <w:rFonts w:hint="default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0" w:lineRule="atLeast"/>
              <w:rPr>
                <w:rFonts w:hint="default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2023.6-8</w:t>
            </w: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0" w:lineRule="atLeast"/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获录取的学生将通过理大教务处的特快专递，收到香港入境事务处签发的签注 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0" w:lineRule="atLeast"/>
              <w:rPr>
                <w:rFonts w:hint="default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学生、理大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0" w:lineRule="atLeast"/>
              <w:rPr>
                <w:rFonts w:hint="default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2023.8.1-8.27</w:t>
            </w: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0" w:lineRule="atLeast"/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获录取学生可按网上录取通知书上的指示进行网上课程注册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0" w:lineRule="atLeast"/>
              <w:rPr>
                <w:rFonts w:hint="default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0" w:lineRule="atLeast"/>
              <w:rPr>
                <w:rFonts w:hint="default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2023.9.1</w:t>
            </w: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0" w:lineRule="atLeast"/>
              <w:rPr>
                <w:rFonts w:hint="default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2023/24学年开始，新生向理大报道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0" w:lineRule="atLeast"/>
              <w:rPr>
                <w:rFonts w:hint="default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kern w:val="2"/>
                <w:sz w:val="28"/>
                <w:szCs w:val="28"/>
                <w:lang w:val="en-US" w:eastAsia="zh-CN" w:bidi="ar-SA"/>
              </w:rPr>
              <w:t>学生、理大</w:t>
            </w:r>
          </w:p>
        </w:tc>
      </w:tr>
    </w:tbl>
    <w:p>
      <w:pPr>
        <w:pStyle w:val="14"/>
        <w:numPr>
          <w:ilvl w:val="0"/>
          <w:numId w:val="0"/>
        </w:numPr>
        <w:spacing w:line="0" w:lineRule="atLeast"/>
        <w:ind w:firstLine="420" w:firstLineChars="0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14"/>
        <w:spacing w:line="0" w:lineRule="atLeast"/>
        <w:rPr>
          <w:rFonts w:ascii="华文仿宋" w:hAnsi="华文仿宋" w:eastAsia="华文仿宋"/>
        </w:rPr>
      </w:pPr>
    </w:p>
    <w:p>
      <w:pPr>
        <w:pStyle w:val="14"/>
        <w:spacing w:line="0" w:lineRule="atLeast"/>
        <w:rPr>
          <w:rFonts w:ascii="华文仿宋" w:hAnsi="华文仿宋" w:eastAsia="华文仿宋"/>
        </w:rPr>
      </w:pPr>
    </w:p>
    <w:p>
      <w:pPr>
        <w:pStyle w:val="14"/>
        <w:spacing w:line="0" w:lineRule="atLeast"/>
        <w:rPr>
          <w:rFonts w:ascii="华文仿宋" w:hAnsi="华文仿宋" w:eastAsia="华文仿宋"/>
        </w:rPr>
      </w:pPr>
    </w:p>
    <w:p>
      <w:pPr>
        <w:pStyle w:val="14"/>
        <w:numPr>
          <w:ilvl w:val="0"/>
          <w:numId w:val="0"/>
        </w:numPr>
        <w:spacing w:line="0" w:lineRule="atLeast"/>
        <w:jc w:val="right"/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>研究生院</w:t>
      </w:r>
    </w:p>
    <w:p>
      <w:pPr>
        <w:pStyle w:val="14"/>
        <w:numPr>
          <w:ilvl w:val="0"/>
          <w:numId w:val="0"/>
        </w:numPr>
        <w:spacing w:line="0" w:lineRule="atLeast"/>
        <w:jc w:val="right"/>
        <w:rPr>
          <w:rFonts w:hint="default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kern w:val="2"/>
          <w:sz w:val="28"/>
          <w:szCs w:val="28"/>
          <w:lang w:val="en-US" w:eastAsia="zh-CN" w:bidi="ar-SA"/>
        </w:rPr>
        <w:t xml:space="preserve">                            2022年9月</w:t>
      </w:r>
    </w:p>
    <w:sectPr>
      <w:footerReference r:id="rId3" w:type="default"/>
      <w:pgSz w:w="11906" w:h="16838"/>
      <w:pgMar w:top="1440" w:right="1416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6263451"/>
      <w:docPartObj>
        <w:docPartGallery w:val="autotext"/>
      </w:docPartObj>
    </w:sdtPr>
    <w:sdtContent>
      <w:p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515552"/>
    <w:multiLevelType w:val="singleLevel"/>
    <w:tmpl w:val="8B515552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98EB7544"/>
    <w:multiLevelType w:val="singleLevel"/>
    <w:tmpl w:val="98EB754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203043E"/>
    <w:multiLevelType w:val="singleLevel"/>
    <w:tmpl w:val="E203043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02FB71F7"/>
    <w:multiLevelType w:val="singleLevel"/>
    <w:tmpl w:val="02FB71F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k4ZjNkNzQzNDAzNzA0ZDk5YTFiZjRhMzAzMzQ4M2YifQ=="/>
  </w:docVars>
  <w:rsids>
    <w:rsidRoot w:val="00172A27"/>
    <w:rsid w:val="00001F05"/>
    <w:rsid w:val="00024FFE"/>
    <w:rsid w:val="0005780D"/>
    <w:rsid w:val="00092890"/>
    <w:rsid w:val="000A7263"/>
    <w:rsid w:val="000E38CF"/>
    <w:rsid w:val="0013492F"/>
    <w:rsid w:val="001457D8"/>
    <w:rsid w:val="00190CD7"/>
    <w:rsid w:val="0019269C"/>
    <w:rsid w:val="001A271B"/>
    <w:rsid w:val="00214615"/>
    <w:rsid w:val="00257EC6"/>
    <w:rsid w:val="00287A93"/>
    <w:rsid w:val="002A073D"/>
    <w:rsid w:val="002A5CF6"/>
    <w:rsid w:val="002A6256"/>
    <w:rsid w:val="002D7A54"/>
    <w:rsid w:val="0030751F"/>
    <w:rsid w:val="0030763A"/>
    <w:rsid w:val="00343E84"/>
    <w:rsid w:val="00381D0E"/>
    <w:rsid w:val="00391983"/>
    <w:rsid w:val="003B26E1"/>
    <w:rsid w:val="003B433C"/>
    <w:rsid w:val="003D6C6D"/>
    <w:rsid w:val="0042543A"/>
    <w:rsid w:val="0042696F"/>
    <w:rsid w:val="0046062C"/>
    <w:rsid w:val="00462C0A"/>
    <w:rsid w:val="00462D61"/>
    <w:rsid w:val="00467B33"/>
    <w:rsid w:val="0047647E"/>
    <w:rsid w:val="004A7D99"/>
    <w:rsid w:val="004C6A55"/>
    <w:rsid w:val="004E77D3"/>
    <w:rsid w:val="00520916"/>
    <w:rsid w:val="005534A1"/>
    <w:rsid w:val="00593A51"/>
    <w:rsid w:val="00596E4E"/>
    <w:rsid w:val="005C2E55"/>
    <w:rsid w:val="005C418B"/>
    <w:rsid w:val="005D13F0"/>
    <w:rsid w:val="005D26B0"/>
    <w:rsid w:val="005D5010"/>
    <w:rsid w:val="005D5EEB"/>
    <w:rsid w:val="005F5169"/>
    <w:rsid w:val="00602EDB"/>
    <w:rsid w:val="00625BFE"/>
    <w:rsid w:val="0066600E"/>
    <w:rsid w:val="0069567C"/>
    <w:rsid w:val="006D6805"/>
    <w:rsid w:val="006E3A92"/>
    <w:rsid w:val="006E4E6E"/>
    <w:rsid w:val="006E7A1B"/>
    <w:rsid w:val="006F0FB6"/>
    <w:rsid w:val="006F4E35"/>
    <w:rsid w:val="006F6845"/>
    <w:rsid w:val="007011B5"/>
    <w:rsid w:val="00737528"/>
    <w:rsid w:val="00740C52"/>
    <w:rsid w:val="0075107B"/>
    <w:rsid w:val="007536A4"/>
    <w:rsid w:val="00762824"/>
    <w:rsid w:val="00772857"/>
    <w:rsid w:val="00782F04"/>
    <w:rsid w:val="007B57B2"/>
    <w:rsid w:val="007D3BB8"/>
    <w:rsid w:val="007E0DB3"/>
    <w:rsid w:val="007E7878"/>
    <w:rsid w:val="007F0665"/>
    <w:rsid w:val="007F1959"/>
    <w:rsid w:val="007F3199"/>
    <w:rsid w:val="008332E6"/>
    <w:rsid w:val="00845EDC"/>
    <w:rsid w:val="00846648"/>
    <w:rsid w:val="008763CA"/>
    <w:rsid w:val="0089577C"/>
    <w:rsid w:val="008A0216"/>
    <w:rsid w:val="008A64A5"/>
    <w:rsid w:val="008B1235"/>
    <w:rsid w:val="008B7598"/>
    <w:rsid w:val="008B7CDF"/>
    <w:rsid w:val="008F03CC"/>
    <w:rsid w:val="00903D86"/>
    <w:rsid w:val="009574B4"/>
    <w:rsid w:val="0097416B"/>
    <w:rsid w:val="00985408"/>
    <w:rsid w:val="0098713A"/>
    <w:rsid w:val="009A68D7"/>
    <w:rsid w:val="009B459B"/>
    <w:rsid w:val="009D1A81"/>
    <w:rsid w:val="009D2347"/>
    <w:rsid w:val="009D397A"/>
    <w:rsid w:val="009E34AE"/>
    <w:rsid w:val="009E6562"/>
    <w:rsid w:val="009F7546"/>
    <w:rsid w:val="00A31914"/>
    <w:rsid w:val="00AB3443"/>
    <w:rsid w:val="00AC7F02"/>
    <w:rsid w:val="00AE424A"/>
    <w:rsid w:val="00AE584B"/>
    <w:rsid w:val="00B006A5"/>
    <w:rsid w:val="00B27C8E"/>
    <w:rsid w:val="00B52BE9"/>
    <w:rsid w:val="00B53732"/>
    <w:rsid w:val="00B8448E"/>
    <w:rsid w:val="00B868FF"/>
    <w:rsid w:val="00B9643D"/>
    <w:rsid w:val="00BB3FB6"/>
    <w:rsid w:val="00BC1DD0"/>
    <w:rsid w:val="00BF2158"/>
    <w:rsid w:val="00C072F5"/>
    <w:rsid w:val="00C105B6"/>
    <w:rsid w:val="00C61D01"/>
    <w:rsid w:val="00C673AA"/>
    <w:rsid w:val="00C70321"/>
    <w:rsid w:val="00C83E5E"/>
    <w:rsid w:val="00CA3C72"/>
    <w:rsid w:val="00CC47BA"/>
    <w:rsid w:val="00CD7EE8"/>
    <w:rsid w:val="00CE1C3D"/>
    <w:rsid w:val="00CF09E8"/>
    <w:rsid w:val="00D107C1"/>
    <w:rsid w:val="00D15676"/>
    <w:rsid w:val="00D21F38"/>
    <w:rsid w:val="00D36B41"/>
    <w:rsid w:val="00D60C25"/>
    <w:rsid w:val="00D61510"/>
    <w:rsid w:val="00D7495E"/>
    <w:rsid w:val="00D85711"/>
    <w:rsid w:val="00D90A2A"/>
    <w:rsid w:val="00DA5949"/>
    <w:rsid w:val="00DD5991"/>
    <w:rsid w:val="00E0072A"/>
    <w:rsid w:val="00E437B3"/>
    <w:rsid w:val="00E72C66"/>
    <w:rsid w:val="00E85EB0"/>
    <w:rsid w:val="00E9324B"/>
    <w:rsid w:val="00E9663C"/>
    <w:rsid w:val="00EE1668"/>
    <w:rsid w:val="00F028AE"/>
    <w:rsid w:val="00F043EB"/>
    <w:rsid w:val="00F14A07"/>
    <w:rsid w:val="00F22337"/>
    <w:rsid w:val="00F51094"/>
    <w:rsid w:val="00F549D7"/>
    <w:rsid w:val="00F642E5"/>
    <w:rsid w:val="00FA251D"/>
    <w:rsid w:val="00FE03C4"/>
    <w:rsid w:val="03984646"/>
    <w:rsid w:val="0668411F"/>
    <w:rsid w:val="10562362"/>
    <w:rsid w:val="15D61B12"/>
    <w:rsid w:val="177842C7"/>
    <w:rsid w:val="1B3C5743"/>
    <w:rsid w:val="1E5F0B77"/>
    <w:rsid w:val="1EAF683B"/>
    <w:rsid w:val="23FE2045"/>
    <w:rsid w:val="247E00CF"/>
    <w:rsid w:val="2CF310A6"/>
    <w:rsid w:val="2FE81F9B"/>
    <w:rsid w:val="32034099"/>
    <w:rsid w:val="3261079E"/>
    <w:rsid w:val="35DF6603"/>
    <w:rsid w:val="38BE349B"/>
    <w:rsid w:val="44157B62"/>
    <w:rsid w:val="50245A00"/>
    <w:rsid w:val="51D05429"/>
    <w:rsid w:val="6DE54372"/>
    <w:rsid w:val="706C63AF"/>
    <w:rsid w:val="73D7468E"/>
    <w:rsid w:val="77BA389E"/>
    <w:rsid w:val="7E2941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1"/>
  </w:style>
  <w:style w:type="paragraph" w:styleId="4">
    <w:name w:val="Balloon Text"/>
    <w:basedOn w:val="1"/>
    <w:link w:val="13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800080" w:themeColor="followedHyperlink"/>
      <w:u w:val="single"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styleId="12">
    <w:name w:val="annotation reference"/>
    <w:semiHidden/>
    <w:unhideWhenUsed/>
    <w:qFormat/>
    <w:uiPriority w:val="99"/>
    <w:rPr>
      <w:sz w:val="16"/>
      <w:szCs w:val="16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5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文字 Char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8">
    <w:name w:val="Table Paragraph"/>
    <w:basedOn w:val="1"/>
    <w:qFormat/>
    <w:uiPriority w:val="1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1962</Words>
  <Characters>2558</Characters>
  <Lines>16</Lines>
  <Paragraphs>4</Paragraphs>
  <TotalTime>1</TotalTime>
  <ScaleCrop>false</ScaleCrop>
  <LinksUpToDate>false</LinksUpToDate>
  <CharactersWithSpaces>2633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2018-10-15T06:50:00Z</dcterms:created>
  <dc:creator>User</dc:creator>
  <cp:lastModifiedBy>licj</cp:lastModifiedBy>
  <dcterms:modified xsi:type="dcterms:W3CDTF">2022-09-27T07:36:40Z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834AAB3089224064879705E5DDC6354C</vt:lpwstr>
  </property>
</Properties>
</file>